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7A27" w14:textId="1E8064B6" w:rsidR="005A2F1E" w:rsidRPr="005A2F1E" w:rsidRDefault="005A2F1E" w:rsidP="005A2F1E">
      <w:pPr>
        <w:jc w:val="center"/>
        <w:rPr>
          <w:lang w:val="es-MX"/>
        </w:rPr>
      </w:pPr>
      <w:bookmarkStart w:id="0" w:name="_Hlk203492505"/>
      <w:r w:rsidRPr="00E86AF3">
        <w:rPr>
          <w:rFonts w:ascii="Arial" w:hAnsi="Arial" w:cs="Arial"/>
          <w:b/>
          <w:bCs/>
          <w:color w:val="E97132" w:themeColor="accent2"/>
          <w:sz w:val="28"/>
          <w:szCs w:val="28"/>
          <w:lang w:val="es-ES"/>
        </w:rPr>
        <w:t>UNIVERSIDAD ANÁHUAC</w:t>
      </w:r>
      <w:r>
        <w:rPr>
          <w:rFonts w:ascii="Arial" w:hAnsi="Arial" w:cs="Arial"/>
          <w:b/>
          <w:bCs/>
          <w:color w:val="E97132" w:themeColor="accent2"/>
          <w:sz w:val="28"/>
          <w:szCs w:val="28"/>
          <w:lang w:val="es-ES"/>
        </w:rPr>
        <w:t xml:space="preserve"> MÉXICO</w:t>
      </w:r>
    </w:p>
    <w:p w14:paraId="24A62966" w14:textId="77777777" w:rsidR="005A2F1E" w:rsidRDefault="005A2F1E" w:rsidP="005A2F1E">
      <w:pPr>
        <w:jc w:val="center"/>
        <w:rPr>
          <w:rFonts w:ascii="Arial" w:hAnsi="Arial" w:cs="Arial"/>
          <w:b/>
          <w:bCs/>
          <w:color w:val="E97132" w:themeColor="accent2"/>
          <w:sz w:val="28"/>
          <w:szCs w:val="28"/>
          <w:lang w:val="es-ES"/>
        </w:rPr>
      </w:pPr>
      <w:r w:rsidRPr="00E86AF3">
        <w:rPr>
          <w:rFonts w:ascii="Arial" w:hAnsi="Arial" w:cs="Arial"/>
          <w:b/>
          <w:bCs/>
          <w:color w:val="E97132" w:themeColor="accent2"/>
          <w:sz w:val="28"/>
          <w:szCs w:val="28"/>
          <w:lang w:val="es-ES"/>
        </w:rPr>
        <w:t>ESCUELA DE CIENCIAS DEL DEPORTE</w:t>
      </w:r>
    </w:p>
    <w:p w14:paraId="158EF1DE" w14:textId="77777777" w:rsidR="005A2F1E" w:rsidRPr="002B09BC" w:rsidRDefault="005A2F1E" w:rsidP="005A2F1E">
      <w:pPr>
        <w:jc w:val="center"/>
        <w:rPr>
          <w:rFonts w:ascii="Arial" w:hAnsi="Arial" w:cs="Arial"/>
          <w:b/>
          <w:bCs/>
          <w:color w:val="E97132" w:themeColor="accent2"/>
          <w:sz w:val="28"/>
          <w:szCs w:val="28"/>
          <w:lang w:val="es-ES"/>
        </w:rPr>
      </w:pPr>
    </w:p>
    <w:p w14:paraId="27E193E3" w14:textId="77777777" w:rsidR="005A2F1E" w:rsidRDefault="005A2F1E" w:rsidP="005A2F1E">
      <w:pPr>
        <w:spacing w:line="360" w:lineRule="auto"/>
        <w:jc w:val="center"/>
        <w:rPr>
          <w:rFonts w:ascii="Arial" w:hAnsi="Arial" w:cs="Arial"/>
          <w:color w:val="000000" w:themeColor="text1"/>
          <w:lang w:val="es-ES"/>
        </w:rPr>
      </w:pPr>
      <w:r w:rsidRPr="00E86AF3">
        <w:rPr>
          <w:rFonts w:ascii="Arial" w:hAnsi="Arial" w:cs="Arial"/>
          <w:color w:val="000000" w:themeColor="text1"/>
          <w:lang w:val="es-ES"/>
        </w:rPr>
        <w:t>CON RECONOCIMIENTO DE VALIDEZ OFICIAL DE ESTUDIOS OTORGADO POR DECRETO PRESIDENCIAL PUBLICADO EN EL D.O.F. EL 26 DE NOVIEMBRE DE 1982</w:t>
      </w:r>
    </w:p>
    <w:p w14:paraId="743E2F75" w14:textId="77777777" w:rsidR="005A2F1E" w:rsidRDefault="005A2F1E" w:rsidP="005A2F1E">
      <w:pPr>
        <w:spacing w:line="360" w:lineRule="auto"/>
        <w:jc w:val="center"/>
        <w:rPr>
          <w:rFonts w:ascii="Arial" w:hAnsi="Arial" w:cs="Arial"/>
          <w:color w:val="000000" w:themeColor="text1"/>
          <w:lang w:val="es-ES"/>
        </w:rPr>
      </w:pPr>
      <w:r w:rsidRPr="00E86AF3">
        <w:rPr>
          <w:rFonts w:ascii="Arial" w:hAnsi="Arial" w:cs="Arial"/>
          <w:noProof/>
          <w:color w:val="000000" w:themeColor="text1"/>
          <w:lang w:val="es-MX" w:eastAsia="es-MX"/>
        </w:rPr>
        <w:drawing>
          <wp:inline distT="0" distB="0" distL="0" distR="0" wp14:anchorId="075C54DF" wp14:editId="363ED923">
            <wp:extent cx="2095500" cy="1765300"/>
            <wp:effectExtent l="0" t="0" r="0" b="0"/>
            <wp:docPr id="800799602" name="Imagen 1" descr="A logo with brown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99602" name="Imagen 1" descr="A logo with brown and yellow lines&#10;&#10;AI-generated content may be incorrect."/>
                    <pic:cNvPicPr/>
                  </pic:nvPicPr>
                  <pic:blipFill>
                    <a:blip r:embed="rId6"/>
                    <a:stretch>
                      <a:fillRect/>
                    </a:stretch>
                  </pic:blipFill>
                  <pic:spPr>
                    <a:xfrm>
                      <a:off x="0" y="0"/>
                      <a:ext cx="2095500" cy="1765300"/>
                    </a:xfrm>
                    <a:prstGeom prst="rect">
                      <a:avLst/>
                    </a:prstGeom>
                  </pic:spPr>
                </pic:pic>
              </a:graphicData>
            </a:graphic>
          </wp:inline>
        </w:drawing>
      </w:r>
    </w:p>
    <w:p w14:paraId="39C79997" w14:textId="77777777" w:rsidR="005A2F1E" w:rsidRPr="00CA6A66" w:rsidRDefault="005A2F1E" w:rsidP="005A2F1E">
      <w:pPr>
        <w:spacing w:line="360" w:lineRule="auto"/>
        <w:jc w:val="center"/>
        <w:rPr>
          <w:rFonts w:ascii="Arial" w:hAnsi="Arial" w:cs="Arial"/>
          <w:color w:val="000000" w:themeColor="text1"/>
          <w:lang w:val="es-ES"/>
        </w:rPr>
      </w:pPr>
      <w:r w:rsidRPr="00CA6A66">
        <w:rPr>
          <w:rFonts w:ascii="Arial" w:hAnsi="Arial" w:cs="Arial"/>
          <w:color w:val="000000" w:themeColor="text1"/>
          <w:lang w:val="es-ES"/>
        </w:rPr>
        <w:t>Proyecto de titulación</w:t>
      </w:r>
    </w:p>
    <w:p w14:paraId="395C1012" w14:textId="15328E7E" w:rsidR="005A2F1E" w:rsidRPr="00CA6A66" w:rsidRDefault="005A2F1E" w:rsidP="005A2F1E">
      <w:pPr>
        <w:spacing w:line="360" w:lineRule="auto"/>
        <w:jc w:val="center"/>
        <w:rPr>
          <w:rFonts w:ascii="Arial" w:hAnsi="Arial" w:cs="Arial"/>
          <w:color w:val="000000" w:themeColor="text1"/>
          <w:lang w:val="es-ES"/>
        </w:rPr>
      </w:pPr>
      <w:r w:rsidRPr="00CA6A66">
        <w:rPr>
          <w:rFonts w:ascii="Arial" w:hAnsi="Arial" w:cs="Arial"/>
          <w:color w:val="000000" w:themeColor="text1"/>
          <w:lang w:val="es-ES"/>
        </w:rPr>
        <w:t xml:space="preserve"> </w:t>
      </w:r>
      <w:r w:rsidR="00DB776E" w:rsidRPr="00B55521">
        <w:rPr>
          <w:rFonts w:ascii="Arial" w:hAnsi="Arial" w:cs="Arial"/>
          <w:color w:val="000000" w:themeColor="text1"/>
          <w:lang w:val="es-ES"/>
        </w:rPr>
        <w:t>“Correlación entre el desempeño físico y la recaída en pacientes con leucemia linfoblástica aguda sometidos a un programa de ejercicio estructurado. Estudio retrospectivo”</w:t>
      </w:r>
    </w:p>
    <w:p w14:paraId="1BE150B1" w14:textId="77777777" w:rsidR="005A2F1E" w:rsidRPr="00CA6A66" w:rsidRDefault="005A2F1E" w:rsidP="005A2F1E">
      <w:pPr>
        <w:spacing w:line="360" w:lineRule="auto"/>
        <w:jc w:val="center"/>
        <w:rPr>
          <w:rFonts w:ascii="Arial" w:hAnsi="Arial" w:cs="Arial"/>
          <w:color w:val="000000" w:themeColor="text1"/>
          <w:lang w:val="es-ES"/>
        </w:rPr>
      </w:pPr>
    </w:p>
    <w:p w14:paraId="2DE15B16" w14:textId="77777777" w:rsidR="005A2F1E" w:rsidRPr="00CA6A66" w:rsidRDefault="005A2F1E" w:rsidP="005A2F1E">
      <w:pPr>
        <w:spacing w:line="360" w:lineRule="auto"/>
        <w:jc w:val="center"/>
        <w:rPr>
          <w:rFonts w:ascii="Arial" w:hAnsi="Arial" w:cs="Arial"/>
          <w:color w:val="000000" w:themeColor="text1"/>
          <w:lang w:val="es-ES"/>
        </w:rPr>
      </w:pPr>
      <w:r w:rsidRPr="00CA6A66">
        <w:rPr>
          <w:rFonts w:ascii="Arial" w:hAnsi="Arial" w:cs="Arial"/>
          <w:color w:val="000000" w:themeColor="text1"/>
          <w:lang w:val="es-ES"/>
        </w:rPr>
        <w:t>PROYECTO APLICATIVO</w:t>
      </w:r>
    </w:p>
    <w:p w14:paraId="39702B17" w14:textId="77777777" w:rsidR="005A2F1E" w:rsidRDefault="005A2F1E" w:rsidP="005A2F1E">
      <w:pPr>
        <w:spacing w:line="360" w:lineRule="auto"/>
        <w:jc w:val="center"/>
        <w:rPr>
          <w:rFonts w:ascii="Arial" w:hAnsi="Arial" w:cs="Arial"/>
          <w:color w:val="000000" w:themeColor="text1"/>
          <w:lang w:val="es-ES"/>
        </w:rPr>
      </w:pPr>
      <w:r w:rsidRPr="00CA6A66">
        <w:rPr>
          <w:rFonts w:ascii="Arial" w:hAnsi="Arial" w:cs="Arial"/>
          <w:color w:val="000000" w:themeColor="text1"/>
          <w:lang w:val="es-ES"/>
        </w:rPr>
        <w:t>QUE PARA OBTENER</w:t>
      </w:r>
      <w:r>
        <w:rPr>
          <w:rFonts w:ascii="Arial" w:hAnsi="Arial" w:cs="Arial"/>
          <w:color w:val="000000" w:themeColor="text1"/>
          <w:lang w:val="es-ES"/>
        </w:rPr>
        <w:t xml:space="preserve"> EL GRADO DE</w:t>
      </w:r>
    </w:p>
    <w:p w14:paraId="1F31F1DE" w14:textId="77777777" w:rsidR="005A2F1E" w:rsidRDefault="005A2F1E" w:rsidP="005A2F1E">
      <w:pPr>
        <w:spacing w:line="360" w:lineRule="auto"/>
        <w:jc w:val="center"/>
        <w:rPr>
          <w:rFonts w:ascii="Arial" w:hAnsi="Arial" w:cs="Arial"/>
          <w:color w:val="000000" w:themeColor="text1"/>
          <w:lang w:val="es-ES"/>
        </w:rPr>
      </w:pPr>
      <w:r>
        <w:rPr>
          <w:rFonts w:ascii="Arial" w:hAnsi="Arial" w:cs="Arial"/>
          <w:color w:val="000000" w:themeColor="text1"/>
          <w:lang w:val="es-ES"/>
        </w:rPr>
        <w:t>MAESTRÍA EN ADMINISTRACIÓN Y CIENCIAS APLICADAS AL DEPORTE</w:t>
      </w:r>
    </w:p>
    <w:p w14:paraId="5A188353" w14:textId="77777777" w:rsidR="005A2F1E" w:rsidRDefault="005A2F1E" w:rsidP="005A2F1E">
      <w:pPr>
        <w:spacing w:line="360" w:lineRule="auto"/>
        <w:jc w:val="center"/>
        <w:rPr>
          <w:rFonts w:ascii="Arial" w:hAnsi="Arial" w:cs="Arial"/>
          <w:color w:val="000000" w:themeColor="text1"/>
          <w:lang w:val="es-ES"/>
        </w:rPr>
      </w:pPr>
    </w:p>
    <w:p w14:paraId="7972F166" w14:textId="77777777" w:rsidR="005A2F1E" w:rsidRPr="00E86AF3" w:rsidRDefault="005A2F1E" w:rsidP="005A2F1E">
      <w:pPr>
        <w:spacing w:line="360" w:lineRule="auto"/>
        <w:jc w:val="center"/>
        <w:rPr>
          <w:rFonts w:ascii="Arial" w:hAnsi="Arial" w:cs="Arial"/>
          <w:b/>
          <w:bCs/>
          <w:color w:val="E97132" w:themeColor="accent2"/>
          <w:lang w:val="es-ES"/>
        </w:rPr>
      </w:pPr>
      <w:r w:rsidRPr="00E86AF3">
        <w:rPr>
          <w:rFonts w:ascii="Arial" w:hAnsi="Arial" w:cs="Arial"/>
          <w:b/>
          <w:bCs/>
          <w:color w:val="E97132" w:themeColor="accent2"/>
          <w:lang w:val="es-ES"/>
        </w:rPr>
        <w:t>PRESENTA</w:t>
      </w:r>
    </w:p>
    <w:p w14:paraId="49A3C59F" w14:textId="77777777" w:rsidR="005A2F1E" w:rsidRPr="00CA6A66" w:rsidRDefault="005A2F1E" w:rsidP="005A2F1E">
      <w:pPr>
        <w:spacing w:line="360" w:lineRule="auto"/>
        <w:jc w:val="center"/>
        <w:rPr>
          <w:rFonts w:ascii="Arial" w:hAnsi="Arial" w:cs="Arial"/>
          <w:color w:val="000000" w:themeColor="text1"/>
          <w:lang w:val="es-MX"/>
        </w:rPr>
      </w:pPr>
      <w:r>
        <w:rPr>
          <w:rFonts w:ascii="Arial" w:hAnsi="Arial" w:cs="Arial"/>
          <w:color w:val="000000" w:themeColor="text1"/>
          <w:lang w:val="es-ES"/>
        </w:rPr>
        <w:t>Ad</w:t>
      </w:r>
      <w:proofErr w:type="spellStart"/>
      <w:r>
        <w:rPr>
          <w:rFonts w:ascii="Arial" w:hAnsi="Arial" w:cs="Arial"/>
          <w:color w:val="000000" w:themeColor="text1"/>
          <w:lang w:val="es-MX"/>
        </w:rPr>
        <w:t>án</w:t>
      </w:r>
      <w:proofErr w:type="spellEnd"/>
      <w:r>
        <w:rPr>
          <w:rFonts w:ascii="Arial" w:hAnsi="Arial" w:cs="Arial"/>
          <w:color w:val="000000" w:themeColor="text1"/>
          <w:lang w:val="es-MX"/>
        </w:rPr>
        <w:t xml:space="preserve"> Germán Gallardo Rodríguez</w:t>
      </w:r>
    </w:p>
    <w:p w14:paraId="2AE1506F" w14:textId="77777777" w:rsidR="005A2F1E" w:rsidRPr="00E86AF3" w:rsidRDefault="005A2F1E" w:rsidP="005A2F1E">
      <w:pPr>
        <w:spacing w:line="360" w:lineRule="auto"/>
        <w:jc w:val="center"/>
        <w:rPr>
          <w:rFonts w:ascii="Arial" w:hAnsi="Arial" w:cs="Arial"/>
          <w:b/>
          <w:bCs/>
          <w:color w:val="E97132" w:themeColor="accent2"/>
          <w:lang w:val="es-ES"/>
        </w:rPr>
      </w:pPr>
      <w:r w:rsidRPr="00E86AF3">
        <w:rPr>
          <w:rFonts w:ascii="Arial" w:hAnsi="Arial" w:cs="Arial"/>
          <w:b/>
          <w:bCs/>
          <w:color w:val="E97132" w:themeColor="accent2"/>
          <w:lang w:val="es-ES"/>
        </w:rPr>
        <w:t>ASESOR DEL PROYECTO APLICATIVO</w:t>
      </w:r>
    </w:p>
    <w:p w14:paraId="20D78CD7" w14:textId="77777777" w:rsidR="005A2F1E" w:rsidRDefault="005A2F1E" w:rsidP="005A2F1E">
      <w:pPr>
        <w:spacing w:line="360" w:lineRule="auto"/>
        <w:jc w:val="center"/>
        <w:rPr>
          <w:rFonts w:ascii="Arial" w:hAnsi="Arial" w:cs="Arial"/>
          <w:color w:val="000000" w:themeColor="text1"/>
          <w:lang w:val="es-ES"/>
        </w:rPr>
      </w:pPr>
      <w:r>
        <w:rPr>
          <w:rFonts w:ascii="Arial" w:hAnsi="Arial" w:cs="Arial"/>
          <w:color w:val="000000" w:themeColor="text1"/>
          <w:lang w:val="es-ES"/>
        </w:rPr>
        <w:t>Dr. Mario Antonio Ramírez Barajas</w:t>
      </w:r>
    </w:p>
    <w:p w14:paraId="7BB9B7F5" w14:textId="7918FE9D" w:rsidR="00E74394" w:rsidRPr="00D9312C" w:rsidRDefault="00E74394" w:rsidP="00D9312C">
      <w:pPr>
        <w:spacing w:line="360" w:lineRule="auto"/>
        <w:jc w:val="both"/>
        <w:rPr>
          <w:rFonts w:ascii="Arial" w:hAnsi="Arial" w:cs="Arial"/>
          <w:b/>
          <w:bCs/>
          <w:lang w:val="es-MX"/>
        </w:rPr>
      </w:pPr>
      <w:r w:rsidRPr="00D9312C">
        <w:rPr>
          <w:rFonts w:ascii="Arial" w:hAnsi="Arial" w:cs="Arial"/>
          <w:b/>
          <w:bCs/>
          <w:lang w:val="es-MX"/>
        </w:rPr>
        <w:lastRenderedPageBreak/>
        <w:t>Resumen</w:t>
      </w:r>
    </w:p>
    <w:p w14:paraId="10D903A8" w14:textId="77777777" w:rsidR="00EF0203" w:rsidRDefault="009D623F" w:rsidP="009D623F">
      <w:pPr>
        <w:spacing w:line="360" w:lineRule="auto"/>
        <w:jc w:val="both"/>
        <w:rPr>
          <w:rFonts w:ascii="Arial" w:hAnsi="Arial" w:cs="Arial"/>
          <w:lang w:val="es-MX"/>
        </w:rPr>
      </w:pPr>
      <w:r w:rsidRPr="009D623F">
        <w:rPr>
          <w:rFonts w:ascii="Arial" w:hAnsi="Arial" w:cs="Arial"/>
          <w:b/>
          <w:bCs/>
          <w:lang w:val="es-MX"/>
        </w:rPr>
        <w:t>Introducción</w:t>
      </w:r>
      <w:r w:rsidRPr="009D623F">
        <w:rPr>
          <w:rFonts w:ascii="Arial" w:hAnsi="Arial" w:cs="Arial"/>
          <w:lang w:val="es-MX"/>
        </w:rPr>
        <w:t xml:space="preserve">: </w:t>
      </w:r>
      <w:r w:rsidR="008C30E4" w:rsidRPr="008C30E4">
        <w:rPr>
          <w:rFonts w:ascii="Arial" w:hAnsi="Arial" w:cs="Arial"/>
          <w:lang w:val="es-MX"/>
        </w:rPr>
        <w:t>La leucemia linfoblástica aguda (LLA) en adultos jóvenes presenta altas tasas de recaída. A pesar de los beneficios conocidos del ejercicio en pacientes hematológicos, su influencia en el riesgo de recaída en LLA es limitada.</w:t>
      </w:r>
      <w:r w:rsidR="00EF0203">
        <w:rPr>
          <w:rFonts w:ascii="Arial" w:hAnsi="Arial" w:cs="Arial"/>
          <w:lang w:val="es-MX"/>
        </w:rPr>
        <w:t xml:space="preserve"> El objetivo fue e</w:t>
      </w:r>
      <w:r w:rsidR="00EF0203" w:rsidRPr="00EF0203">
        <w:rPr>
          <w:rFonts w:ascii="Arial" w:hAnsi="Arial" w:cs="Arial"/>
          <w:lang w:val="es-MX"/>
        </w:rPr>
        <w:t xml:space="preserve">valuar la correlación entre el desempeño físico </w:t>
      </w:r>
      <w:proofErr w:type="spellStart"/>
      <w:r w:rsidR="00EF0203" w:rsidRPr="00EF0203">
        <w:rPr>
          <w:rFonts w:ascii="Arial" w:hAnsi="Arial" w:cs="Arial"/>
          <w:lang w:val="es-MX"/>
        </w:rPr>
        <w:t>post-intervención</w:t>
      </w:r>
      <w:proofErr w:type="spellEnd"/>
      <w:r w:rsidR="00EF0203" w:rsidRPr="00EF0203">
        <w:rPr>
          <w:rFonts w:ascii="Arial" w:hAnsi="Arial" w:cs="Arial"/>
          <w:lang w:val="es-MX"/>
        </w:rPr>
        <w:t xml:space="preserve"> de ejercicio estructurado y la recaída clínica en pacientes con LLA.</w:t>
      </w:r>
      <w:r w:rsidR="008C30E4">
        <w:rPr>
          <w:rFonts w:ascii="Arial" w:hAnsi="Arial" w:cs="Arial"/>
          <w:lang w:val="es-MX"/>
        </w:rPr>
        <w:t xml:space="preserve"> </w:t>
      </w:r>
    </w:p>
    <w:p w14:paraId="47B41144" w14:textId="77777777" w:rsidR="00EF0203" w:rsidRDefault="009D623F" w:rsidP="009D623F">
      <w:pPr>
        <w:spacing w:line="360" w:lineRule="auto"/>
        <w:jc w:val="both"/>
        <w:rPr>
          <w:rFonts w:ascii="Arial" w:hAnsi="Arial" w:cs="Arial"/>
          <w:lang w:val="es-MX"/>
        </w:rPr>
      </w:pPr>
      <w:r w:rsidRPr="009D623F">
        <w:rPr>
          <w:rFonts w:ascii="Arial" w:hAnsi="Arial" w:cs="Arial"/>
          <w:b/>
          <w:bCs/>
          <w:lang w:val="es-MX"/>
        </w:rPr>
        <w:t>Material y Métodos</w:t>
      </w:r>
      <w:r w:rsidRPr="009D623F">
        <w:rPr>
          <w:rFonts w:ascii="Arial" w:hAnsi="Arial" w:cs="Arial"/>
          <w:lang w:val="es-MX"/>
        </w:rPr>
        <w:t xml:space="preserve">: Se realizó un estudio </w:t>
      </w:r>
      <w:r>
        <w:rPr>
          <w:rFonts w:ascii="Arial" w:hAnsi="Arial" w:cs="Arial"/>
          <w:lang w:val="es-MX"/>
        </w:rPr>
        <w:t>de cohorte</w:t>
      </w:r>
      <w:r w:rsidR="00EF0203">
        <w:rPr>
          <w:rFonts w:ascii="Arial" w:hAnsi="Arial" w:cs="Arial"/>
          <w:lang w:val="es-MX"/>
        </w:rPr>
        <w:t xml:space="preserve"> </w:t>
      </w:r>
      <w:r w:rsidRPr="009D623F">
        <w:rPr>
          <w:rFonts w:ascii="Arial" w:hAnsi="Arial" w:cs="Arial"/>
          <w:lang w:val="es-MX"/>
        </w:rPr>
        <w:t>retrospectiv</w:t>
      </w:r>
      <w:r w:rsidR="00EF0203">
        <w:rPr>
          <w:rFonts w:ascii="Arial" w:hAnsi="Arial" w:cs="Arial"/>
          <w:lang w:val="es-MX"/>
        </w:rPr>
        <w:t>a</w:t>
      </w:r>
      <w:r w:rsidRPr="009D623F">
        <w:rPr>
          <w:rFonts w:ascii="Arial" w:hAnsi="Arial" w:cs="Arial"/>
          <w:lang w:val="es-MX"/>
        </w:rPr>
        <w:t xml:space="preserve">, basado en el análisis </w:t>
      </w:r>
      <w:r w:rsidR="00EF0203">
        <w:rPr>
          <w:rFonts w:ascii="Arial" w:hAnsi="Arial" w:cs="Arial"/>
          <w:lang w:val="es-MX"/>
        </w:rPr>
        <w:t xml:space="preserve">de </w:t>
      </w:r>
      <w:r w:rsidRPr="009D623F">
        <w:rPr>
          <w:rFonts w:ascii="Arial" w:hAnsi="Arial" w:cs="Arial"/>
          <w:lang w:val="es-MX"/>
        </w:rPr>
        <w:t>32 registros clínicos de pacientes adultos jóvenes con LLA. Los pacientes fueron asignados a tres grupos: control (GC), ejercicio de resistencia (GER) y ejercicio cruzado (GEC). Se evaluó el desempeño físico mediante cinco pruebas</w:t>
      </w:r>
      <w:r w:rsidR="008C30E4">
        <w:rPr>
          <w:rFonts w:ascii="Arial" w:hAnsi="Arial" w:cs="Arial"/>
          <w:lang w:val="es-MX"/>
        </w:rPr>
        <w:t xml:space="preserve"> física y l</w:t>
      </w:r>
      <w:r w:rsidRPr="009D623F">
        <w:rPr>
          <w:rFonts w:ascii="Arial" w:hAnsi="Arial" w:cs="Arial"/>
          <w:lang w:val="es-MX"/>
        </w:rPr>
        <w:t xml:space="preserve">a </w:t>
      </w:r>
      <w:r w:rsidR="00EF0203">
        <w:rPr>
          <w:rFonts w:ascii="Arial" w:hAnsi="Arial" w:cs="Arial"/>
          <w:lang w:val="es-MX"/>
        </w:rPr>
        <w:t xml:space="preserve">presencia de </w:t>
      </w:r>
      <w:r w:rsidRPr="009D623F">
        <w:rPr>
          <w:rFonts w:ascii="Arial" w:hAnsi="Arial" w:cs="Arial"/>
          <w:lang w:val="es-MX"/>
        </w:rPr>
        <w:t>recaída clínica</w:t>
      </w:r>
      <w:r w:rsidR="008C30E4">
        <w:rPr>
          <w:rFonts w:ascii="Arial" w:hAnsi="Arial" w:cs="Arial"/>
          <w:lang w:val="es-MX"/>
        </w:rPr>
        <w:t xml:space="preserve"> en un lapso de 500 días. </w:t>
      </w:r>
      <w:r w:rsidRPr="009D623F">
        <w:rPr>
          <w:rFonts w:ascii="Arial" w:hAnsi="Arial" w:cs="Arial"/>
          <w:lang w:val="es-MX"/>
        </w:rPr>
        <w:t>Se utilizaron pruebas de chi</w:t>
      </w:r>
      <w:r w:rsidR="00EF0203" w:rsidRPr="00EF0203">
        <w:rPr>
          <w:rFonts w:ascii="Arial" w:hAnsi="Arial" w:cs="Arial"/>
          <w:vertAlign w:val="superscript"/>
          <w:lang w:val="es-MX"/>
        </w:rPr>
        <w:t>2</w:t>
      </w:r>
      <w:r w:rsidRPr="009D623F">
        <w:rPr>
          <w:rFonts w:ascii="Arial" w:hAnsi="Arial" w:cs="Arial"/>
          <w:lang w:val="es-MX"/>
        </w:rPr>
        <w:t>, correlación de Pearson y regresión logística binaria para el análisis estadístico.</w:t>
      </w:r>
      <w:r w:rsidR="008C30E4">
        <w:rPr>
          <w:rFonts w:ascii="Arial" w:hAnsi="Arial" w:cs="Arial"/>
          <w:lang w:val="es-MX"/>
        </w:rPr>
        <w:t xml:space="preserve"> </w:t>
      </w:r>
    </w:p>
    <w:p w14:paraId="4B04547E" w14:textId="77777777" w:rsidR="00EF0203" w:rsidRDefault="009D623F" w:rsidP="009D623F">
      <w:pPr>
        <w:spacing w:line="360" w:lineRule="auto"/>
        <w:jc w:val="both"/>
        <w:rPr>
          <w:rFonts w:ascii="Arial" w:hAnsi="Arial" w:cs="Arial"/>
          <w:lang w:val="es-MX"/>
        </w:rPr>
      </w:pPr>
      <w:r w:rsidRPr="008C30E4">
        <w:rPr>
          <w:rFonts w:ascii="Arial" w:hAnsi="Arial" w:cs="Arial"/>
          <w:b/>
          <w:bCs/>
          <w:lang w:val="es-MX"/>
        </w:rPr>
        <w:t>Resultados:</w:t>
      </w:r>
      <w:r w:rsidRPr="009D623F">
        <w:rPr>
          <w:rFonts w:ascii="Arial" w:hAnsi="Arial" w:cs="Arial"/>
          <w:lang w:val="es-MX"/>
        </w:rPr>
        <w:t xml:space="preserve"> </w:t>
      </w:r>
      <w:r w:rsidR="008C30E4" w:rsidRPr="008C30E4">
        <w:rPr>
          <w:rFonts w:ascii="Arial" w:hAnsi="Arial" w:cs="Arial"/>
          <w:lang w:val="es-MX"/>
        </w:rPr>
        <w:t>El 31.25% (10 de 32) de los pacientes sufrió recaída (50% en GC, 30% en GER, 20% en GEC). El "buen desempeño" físico global se observó en el 27.3% del GC, 40% del GER y 63.3% del GEC. No se hallaron diferencias estadísticamente significativas ni correlaciones relevantes entre el desempeño físico y la recaída (GC: p = 0.576; GER: p = 0.667; GEC: p = 0.618). Sin embargo, las razones de momios indicaron una tendencia hacia un menor riesgo de recaída en pacientes con mejor desempeño físico, especialmente en GEC</w:t>
      </w:r>
      <w:r w:rsidR="00EF0203">
        <w:rPr>
          <w:rFonts w:ascii="Arial" w:hAnsi="Arial" w:cs="Arial"/>
          <w:lang w:val="es-MX"/>
        </w:rPr>
        <w:t xml:space="preserve"> (RM: 0.500; IC95% 0.023 – 11.088)</w:t>
      </w:r>
      <w:r w:rsidR="008C30E4" w:rsidRPr="008C30E4">
        <w:rPr>
          <w:rFonts w:ascii="Arial" w:hAnsi="Arial" w:cs="Arial"/>
          <w:lang w:val="es-MX"/>
        </w:rPr>
        <w:t xml:space="preserve"> y aquellos que realizaron una rutina de ejercicio (</w:t>
      </w:r>
      <w:r w:rsidR="00EF0203">
        <w:rPr>
          <w:rFonts w:ascii="Arial" w:hAnsi="Arial" w:cs="Arial"/>
          <w:lang w:val="es-MX"/>
        </w:rPr>
        <w:t>RM:0.514; IC95% 0.067 – 4.003</w:t>
      </w:r>
      <w:r w:rsidR="008C30E4" w:rsidRPr="008C30E4">
        <w:rPr>
          <w:rFonts w:ascii="Arial" w:hAnsi="Arial" w:cs="Arial"/>
          <w:lang w:val="es-MX"/>
        </w:rPr>
        <w:t>).</w:t>
      </w:r>
      <w:r w:rsidR="008C30E4">
        <w:rPr>
          <w:rFonts w:ascii="Arial" w:hAnsi="Arial" w:cs="Arial"/>
          <w:lang w:val="es-MX"/>
        </w:rPr>
        <w:t xml:space="preserve"> </w:t>
      </w:r>
    </w:p>
    <w:p w14:paraId="40334BF6" w14:textId="62073EE2" w:rsidR="009D623F" w:rsidRPr="009D623F" w:rsidRDefault="009D623F" w:rsidP="009D623F">
      <w:pPr>
        <w:spacing w:line="360" w:lineRule="auto"/>
        <w:jc w:val="both"/>
        <w:rPr>
          <w:rFonts w:ascii="Arial" w:hAnsi="Arial" w:cs="Arial"/>
          <w:lang w:val="es-MX"/>
        </w:rPr>
      </w:pPr>
      <w:r w:rsidRPr="008C30E4">
        <w:rPr>
          <w:rFonts w:ascii="Arial" w:hAnsi="Arial" w:cs="Arial"/>
          <w:b/>
          <w:bCs/>
          <w:lang w:val="es-MX"/>
        </w:rPr>
        <w:t>Conclusiones</w:t>
      </w:r>
      <w:r w:rsidRPr="009D623F">
        <w:rPr>
          <w:rFonts w:ascii="Arial" w:hAnsi="Arial" w:cs="Arial"/>
          <w:lang w:val="es-MX"/>
        </w:rPr>
        <w:t xml:space="preserve">: </w:t>
      </w:r>
      <w:r w:rsidR="008C30E4" w:rsidRPr="008C30E4">
        <w:rPr>
          <w:rFonts w:ascii="Arial" w:hAnsi="Arial" w:cs="Arial"/>
          <w:lang w:val="es-MX"/>
        </w:rPr>
        <w:t>Aunque no se encontró una correlación estadísticamente significativa, hubo una tendencia prometedora hacia un menor riesgo de recaída en pacientes con mejor desempeño físico, sobre todo en GEC. El estudio confirma los beneficios funcionales del ejercicio estructurado y sugiere la necesidad de futuras investigaciones con mayor tamaño de muestra para validar esta relación</w:t>
      </w:r>
      <w:r w:rsidR="008C30E4">
        <w:rPr>
          <w:rFonts w:ascii="Arial" w:hAnsi="Arial" w:cs="Arial"/>
          <w:lang w:val="es-MX"/>
        </w:rPr>
        <w:t>.</w:t>
      </w:r>
    </w:p>
    <w:p w14:paraId="187D07EA" w14:textId="77777777" w:rsidR="00D9312C" w:rsidRDefault="00D9312C" w:rsidP="00D9312C">
      <w:pPr>
        <w:spacing w:line="360" w:lineRule="auto"/>
        <w:jc w:val="both"/>
        <w:rPr>
          <w:rFonts w:ascii="Arial" w:hAnsi="Arial" w:cs="Arial"/>
          <w:b/>
          <w:bCs/>
          <w:lang w:val="es-MX"/>
        </w:rPr>
      </w:pPr>
    </w:p>
    <w:p w14:paraId="047BF624" w14:textId="77777777" w:rsidR="005A2F1E" w:rsidRDefault="005A2F1E" w:rsidP="00D9312C">
      <w:pPr>
        <w:spacing w:line="360" w:lineRule="auto"/>
        <w:jc w:val="both"/>
        <w:rPr>
          <w:rFonts w:ascii="Arial" w:hAnsi="Arial" w:cs="Arial"/>
          <w:b/>
          <w:bCs/>
          <w:lang w:val="es-MX"/>
        </w:rPr>
      </w:pPr>
    </w:p>
    <w:p w14:paraId="228F5B28" w14:textId="77777777" w:rsidR="00692A0D" w:rsidRDefault="00692A0D" w:rsidP="00D9312C">
      <w:pPr>
        <w:spacing w:line="360" w:lineRule="auto"/>
        <w:jc w:val="both"/>
        <w:rPr>
          <w:rFonts w:ascii="Arial" w:hAnsi="Arial" w:cs="Arial"/>
          <w:b/>
          <w:bCs/>
          <w:lang w:val="es-MX"/>
        </w:rPr>
      </w:pPr>
    </w:p>
    <w:p w14:paraId="389442FC" w14:textId="503F44D7" w:rsidR="00E74394" w:rsidRPr="0094257D" w:rsidRDefault="00E74394" w:rsidP="00D9312C">
      <w:pPr>
        <w:spacing w:line="360" w:lineRule="auto"/>
        <w:jc w:val="both"/>
        <w:rPr>
          <w:rFonts w:ascii="Arial" w:hAnsi="Arial" w:cs="Arial"/>
          <w:b/>
          <w:bCs/>
          <w:lang w:val="es-MX"/>
        </w:rPr>
      </w:pPr>
      <w:r w:rsidRPr="009E0A96">
        <w:rPr>
          <w:rFonts w:ascii="Arial" w:hAnsi="Arial" w:cs="Arial"/>
          <w:b/>
          <w:bCs/>
          <w:lang w:val="es-MX"/>
        </w:rPr>
        <w:lastRenderedPageBreak/>
        <w:t>A</w:t>
      </w:r>
      <w:r w:rsidR="00146470" w:rsidRPr="009E0A96">
        <w:rPr>
          <w:rFonts w:ascii="Arial" w:hAnsi="Arial" w:cs="Arial"/>
          <w:b/>
          <w:bCs/>
          <w:lang w:val="es-MX"/>
        </w:rPr>
        <w:t>n</w:t>
      </w:r>
      <w:r w:rsidRPr="009E0A96">
        <w:rPr>
          <w:rFonts w:ascii="Arial" w:hAnsi="Arial" w:cs="Arial"/>
          <w:b/>
          <w:bCs/>
          <w:lang w:val="es-MX"/>
        </w:rPr>
        <w:t>tecedentes</w:t>
      </w:r>
    </w:p>
    <w:p w14:paraId="36749D37" w14:textId="46689C5A" w:rsidR="004D7B71" w:rsidRPr="004D7B71" w:rsidRDefault="004D7B71" w:rsidP="00D9312C">
      <w:pPr>
        <w:spacing w:line="360" w:lineRule="auto"/>
        <w:jc w:val="both"/>
        <w:rPr>
          <w:rFonts w:ascii="Arial" w:hAnsi="Arial" w:cs="Arial"/>
          <w:b/>
          <w:bCs/>
          <w:i/>
          <w:iCs/>
          <w:lang w:val="es-MX"/>
        </w:rPr>
      </w:pPr>
      <w:bookmarkStart w:id="1" w:name="_Hlk203491115"/>
      <w:r w:rsidRPr="004D7B71">
        <w:rPr>
          <w:rFonts w:ascii="Arial" w:hAnsi="Arial" w:cs="Arial"/>
          <w:b/>
          <w:bCs/>
          <w:i/>
          <w:iCs/>
          <w:lang w:val="es-MX"/>
        </w:rPr>
        <w:t>Leucemia Linfoblástica Aguda</w:t>
      </w:r>
    </w:p>
    <w:p w14:paraId="4E076CD9" w14:textId="5C36B40D" w:rsidR="00641D7E" w:rsidRPr="00641D7E" w:rsidRDefault="00641D7E" w:rsidP="00641D7E">
      <w:pPr>
        <w:spacing w:line="360" w:lineRule="auto"/>
        <w:jc w:val="both"/>
        <w:rPr>
          <w:rFonts w:ascii="Arial" w:hAnsi="Arial" w:cs="Arial"/>
          <w:lang w:val="es-MX"/>
        </w:rPr>
      </w:pPr>
      <w:r w:rsidRPr="00641D7E">
        <w:rPr>
          <w:rFonts w:ascii="Arial" w:hAnsi="Arial" w:cs="Arial"/>
          <w:lang w:val="es-MX"/>
        </w:rPr>
        <w:t>La leucemia linfoblástica aguda (LLA) es un tipo de cáncer hematológico caracterizado por la diferenciación, proliferación y acumulación de células linfoides progenitoras dañadas, ubicadas en la medula ósea y/o en sitios extramedulares (Paul et al., 2016). Esta enfermedad se desarrolla tanto en niños como en adultos, con un pico de incidencia entre 1 y 4 años. En el 2020, la incidencia de LLA en países como EUA fue de 1.7 por cada 100,000 hombres y mujeres por año. Mientras que la supervivencia a los 5 años en pacientes adultos es del 68.8% (</w:t>
      </w:r>
      <w:r w:rsidR="00814497" w:rsidRPr="00814497">
        <w:rPr>
          <w:rFonts w:ascii="Arial" w:hAnsi="Arial" w:cs="Arial"/>
          <w:lang w:val="es-MX"/>
        </w:rPr>
        <w:t xml:space="preserve">Acute </w:t>
      </w:r>
      <w:proofErr w:type="spellStart"/>
      <w:r w:rsidR="00814497" w:rsidRPr="00814497">
        <w:rPr>
          <w:rFonts w:ascii="Arial" w:hAnsi="Arial" w:cs="Arial"/>
          <w:lang w:val="es-MX"/>
        </w:rPr>
        <w:t>Lymphocytic</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Leukemia</w:t>
      </w:r>
      <w:proofErr w:type="spellEnd"/>
      <w:r w:rsidR="00814497" w:rsidRPr="00814497">
        <w:rPr>
          <w:rFonts w:ascii="Arial" w:hAnsi="Arial" w:cs="Arial"/>
          <w:lang w:val="es-MX"/>
        </w:rPr>
        <w:t xml:space="preserve"> - </w:t>
      </w:r>
      <w:proofErr w:type="spellStart"/>
      <w:r w:rsidR="00814497" w:rsidRPr="00814497">
        <w:rPr>
          <w:rFonts w:ascii="Arial" w:hAnsi="Arial" w:cs="Arial"/>
          <w:lang w:val="es-MX"/>
        </w:rPr>
        <w:t>cancer</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stat</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facts</w:t>
      </w:r>
      <w:proofErr w:type="spellEnd"/>
      <w:r w:rsidR="00814497" w:rsidRPr="00814497">
        <w:rPr>
          <w:rFonts w:ascii="Arial" w:hAnsi="Arial" w:cs="Arial"/>
          <w:lang w:val="es-MX"/>
        </w:rPr>
        <w:t>, s/f</w:t>
      </w:r>
      <w:r w:rsidRPr="00641D7E">
        <w:rPr>
          <w:rFonts w:ascii="Arial" w:hAnsi="Arial" w:cs="Arial"/>
          <w:lang w:val="es-MX"/>
        </w:rPr>
        <w:t>.). En México, el estudio multicéntrico más grande sobre la epidemiología de la LLA en adultos que se ha realizado demostró que de los 1018 pacientes mayores de 16 años que ingresaron con un diagnóstico confirmatorio de Leucemia aguda, el 51% presentaron LLA, siendo el 93.6% de los casos LLA de subtipo B (Gómez-Almaguer et al., 2017).</w:t>
      </w:r>
    </w:p>
    <w:p w14:paraId="3983BB52" w14:textId="5F177BB8" w:rsidR="00653882" w:rsidRPr="00641D7E" w:rsidRDefault="00641D7E" w:rsidP="00D9312C">
      <w:pPr>
        <w:spacing w:line="360" w:lineRule="auto"/>
        <w:jc w:val="both"/>
        <w:rPr>
          <w:rFonts w:ascii="Arial" w:hAnsi="Arial" w:cs="Arial"/>
          <w:lang w:val="es-MX"/>
        </w:rPr>
      </w:pPr>
      <w:r w:rsidRPr="00641D7E">
        <w:rPr>
          <w:rFonts w:ascii="Arial" w:hAnsi="Arial" w:cs="Arial"/>
          <w:lang w:val="es-MX"/>
        </w:rPr>
        <w:t>Aunque los avances en la quimioterapia han mejorado las tasas de remisión y supervivencia especialmente en niños, los resultados en adultos jóvenes siguen siendo desalentadores debido a las tasas elevadas de recaídas y toxicidades relacionadas con el tratamiento (Ramos-Peñafiel et al., 2014). La estructura principal del tratamiento es la quimioterapia, dividida en 3 fases: inducción, consolidación y mantenimiento; durante la inducción la combinación de antraciclinas y alcaloides de la vinca durante cuatro semanas permitieron que más del 80% de los pacientes lograrán una remisión completa. La importancia de la terapia de consolidación recae en la incorporación de profilaxis al sistema nervioso central, y finalmente en la etapa de mantenimiento se agregan fármacos como vincristina y esteroides para asegurar la mejora de los resultados y evitar recaídas tempranas (Ramos-Peñafiel et al., 2016).</w:t>
      </w:r>
    </w:p>
    <w:p w14:paraId="465A35B2" w14:textId="341214DE" w:rsidR="004D7B71" w:rsidRPr="004D7B71" w:rsidRDefault="00FD6016" w:rsidP="00D9312C">
      <w:pPr>
        <w:spacing w:line="360" w:lineRule="auto"/>
        <w:jc w:val="both"/>
        <w:rPr>
          <w:rFonts w:ascii="Arial" w:hAnsi="Arial" w:cs="Arial"/>
          <w:b/>
          <w:bCs/>
          <w:i/>
          <w:iCs/>
          <w:szCs w:val="20"/>
          <w:lang w:val="es-ES"/>
        </w:rPr>
      </w:pPr>
      <w:r>
        <w:rPr>
          <w:rFonts w:ascii="Arial" w:hAnsi="Arial" w:cs="Arial"/>
          <w:b/>
          <w:bCs/>
          <w:i/>
          <w:iCs/>
          <w:szCs w:val="20"/>
          <w:lang w:val="es-ES"/>
        </w:rPr>
        <w:t>Recaída en pacientes con LLA</w:t>
      </w:r>
    </w:p>
    <w:p w14:paraId="63699D0A" w14:textId="2DACD826" w:rsidR="00FD6016" w:rsidRPr="00FD6016" w:rsidRDefault="00FD6016" w:rsidP="00FD6016">
      <w:pPr>
        <w:spacing w:line="360" w:lineRule="auto"/>
        <w:jc w:val="both"/>
        <w:rPr>
          <w:rFonts w:ascii="Arial" w:hAnsi="Arial" w:cs="Arial"/>
          <w:lang w:val="es-MX"/>
        </w:rPr>
      </w:pPr>
      <w:r w:rsidRPr="00FD6016">
        <w:rPr>
          <w:rFonts w:ascii="Arial" w:hAnsi="Arial" w:cs="Arial"/>
          <w:lang w:val="es-MX"/>
        </w:rPr>
        <w:t xml:space="preserve">La recaída en la leucemia linfoblástica aguda (LLA) se define como la reaparición de la enfermedad después de un período de remisión completa. La recaída puede ocurrir meses o años después del tratamiento inicial y representa un desafío significativo en el manejo de la LLA, especialmente en adultos jóvenes, donde las tasas de recaída son </w:t>
      </w:r>
      <w:r w:rsidRPr="00FD6016">
        <w:rPr>
          <w:rFonts w:ascii="Arial" w:hAnsi="Arial" w:cs="Arial"/>
          <w:lang w:val="es-MX"/>
        </w:rPr>
        <w:lastRenderedPageBreak/>
        <w:t xml:space="preserve">elevadas (St. </w:t>
      </w:r>
      <w:proofErr w:type="spellStart"/>
      <w:r w:rsidRPr="00FD6016">
        <w:rPr>
          <w:rFonts w:ascii="Arial" w:hAnsi="Arial" w:cs="Arial"/>
          <w:lang w:val="es-MX"/>
        </w:rPr>
        <w:t>Jude</w:t>
      </w:r>
      <w:proofErr w:type="spellEnd"/>
      <w:r w:rsidRPr="00FD6016">
        <w:rPr>
          <w:rFonts w:ascii="Arial" w:hAnsi="Arial" w:cs="Arial"/>
          <w:lang w:val="es-MX"/>
        </w:rPr>
        <w:t xml:space="preserve"> </w:t>
      </w:r>
      <w:proofErr w:type="spellStart"/>
      <w:r w:rsidRPr="00FD6016">
        <w:rPr>
          <w:rFonts w:ascii="Arial" w:hAnsi="Arial" w:cs="Arial"/>
          <w:lang w:val="es-MX"/>
        </w:rPr>
        <w:t>Children's</w:t>
      </w:r>
      <w:proofErr w:type="spellEnd"/>
      <w:r w:rsidRPr="00FD6016">
        <w:rPr>
          <w:rFonts w:ascii="Arial" w:hAnsi="Arial" w:cs="Arial"/>
          <w:lang w:val="es-MX"/>
        </w:rPr>
        <w:t xml:space="preserve"> </w:t>
      </w:r>
      <w:proofErr w:type="spellStart"/>
      <w:r w:rsidRPr="00FD6016">
        <w:rPr>
          <w:rFonts w:ascii="Arial" w:hAnsi="Arial" w:cs="Arial"/>
          <w:lang w:val="es-MX"/>
        </w:rPr>
        <w:t>Research</w:t>
      </w:r>
      <w:proofErr w:type="spellEnd"/>
      <w:r w:rsidRPr="00FD6016">
        <w:rPr>
          <w:rFonts w:ascii="Arial" w:hAnsi="Arial" w:cs="Arial"/>
          <w:lang w:val="es-MX"/>
        </w:rPr>
        <w:t xml:space="preserve"> Hospital, </w:t>
      </w:r>
      <w:proofErr w:type="spellStart"/>
      <w:r w:rsidRPr="00FD6016">
        <w:rPr>
          <w:rFonts w:ascii="Arial" w:hAnsi="Arial" w:cs="Arial"/>
          <w:lang w:val="es-MX"/>
        </w:rPr>
        <w:t>n.d</w:t>
      </w:r>
      <w:proofErr w:type="spellEnd"/>
      <w:r w:rsidRPr="00FD6016">
        <w:rPr>
          <w:rFonts w:ascii="Arial" w:hAnsi="Arial" w:cs="Arial"/>
          <w:lang w:val="es-MX"/>
        </w:rPr>
        <w:t xml:space="preserve">.; Ramos-Peñafiel et al., 2014). La recaída puede ser local, regional o distante, afectando la médula ósea, el sistema nervioso central u otros sitios extramedulares (St. </w:t>
      </w:r>
      <w:proofErr w:type="spellStart"/>
      <w:r w:rsidRPr="00FD6016">
        <w:rPr>
          <w:rFonts w:ascii="Arial" w:hAnsi="Arial" w:cs="Arial"/>
          <w:lang w:val="es-MX"/>
        </w:rPr>
        <w:t>Jude</w:t>
      </w:r>
      <w:proofErr w:type="spellEnd"/>
      <w:r w:rsidRPr="00FD6016">
        <w:rPr>
          <w:rFonts w:ascii="Arial" w:hAnsi="Arial" w:cs="Arial"/>
          <w:lang w:val="es-MX"/>
        </w:rPr>
        <w:t xml:space="preserve"> </w:t>
      </w:r>
      <w:proofErr w:type="spellStart"/>
      <w:r w:rsidRPr="00FD6016">
        <w:rPr>
          <w:rFonts w:ascii="Arial" w:hAnsi="Arial" w:cs="Arial"/>
          <w:lang w:val="es-MX"/>
        </w:rPr>
        <w:t>Children's</w:t>
      </w:r>
      <w:proofErr w:type="spellEnd"/>
      <w:r w:rsidRPr="00FD6016">
        <w:rPr>
          <w:rFonts w:ascii="Arial" w:hAnsi="Arial" w:cs="Arial"/>
          <w:lang w:val="es-MX"/>
        </w:rPr>
        <w:t xml:space="preserve"> </w:t>
      </w:r>
      <w:proofErr w:type="spellStart"/>
      <w:r w:rsidRPr="00FD6016">
        <w:rPr>
          <w:rFonts w:ascii="Arial" w:hAnsi="Arial" w:cs="Arial"/>
          <w:lang w:val="es-MX"/>
        </w:rPr>
        <w:t>Research</w:t>
      </w:r>
      <w:proofErr w:type="spellEnd"/>
      <w:r w:rsidRPr="00FD6016">
        <w:rPr>
          <w:rFonts w:ascii="Arial" w:hAnsi="Arial" w:cs="Arial"/>
          <w:lang w:val="es-MX"/>
        </w:rPr>
        <w:t xml:space="preserve"> Hospital, </w:t>
      </w:r>
      <w:proofErr w:type="spellStart"/>
      <w:r w:rsidRPr="00FD6016">
        <w:rPr>
          <w:rFonts w:ascii="Arial" w:hAnsi="Arial" w:cs="Arial"/>
          <w:lang w:val="es-MX"/>
        </w:rPr>
        <w:t>n.d</w:t>
      </w:r>
      <w:proofErr w:type="spellEnd"/>
      <w:r w:rsidRPr="00FD6016">
        <w:rPr>
          <w:rFonts w:ascii="Arial" w:hAnsi="Arial" w:cs="Arial"/>
          <w:lang w:val="es-MX"/>
        </w:rPr>
        <w:t>.).</w:t>
      </w:r>
    </w:p>
    <w:p w14:paraId="3A3E0F2E" w14:textId="5AECF435" w:rsidR="00FD6016" w:rsidRPr="00FD6016" w:rsidRDefault="00FD6016" w:rsidP="00FD6016">
      <w:pPr>
        <w:spacing w:line="360" w:lineRule="auto"/>
        <w:jc w:val="both"/>
        <w:rPr>
          <w:rFonts w:ascii="Arial" w:hAnsi="Arial" w:cs="Arial"/>
          <w:lang w:val="es-MX"/>
        </w:rPr>
      </w:pPr>
      <w:r w:rsidRPr="00FD6016">
        <w:rPr>
          <w:rFonts w:ascii="Arial" w:hAnsi="Arial" w:cs="Arial"/>
          <w:lang w:val="es-MX"/>
        </w:rPr>
        <w:t xml:space="preserve">Los mecanismos subyacentes a la recaída de la LLA son complejos e implican una combinación de factores genéticos, moleculares y de resistencia al tratamiento. Se ha observado que las células leucémicas residuales, que no son eliminadas por la quimioterapia inicial, pueden persistir en un estado de latencia y posteriormente proliferar, llevando a la recaída (St. </w:t>
      </w:r>
      <w:proofErr w:type="spellStart"/>
      <w:r w:rsidRPr="00FD6016">
        <w:rPr>
          <w:rFonts w:ascii="Arial" w:hAnsi="Arial" w:cs="Arial"/>
          <w:lang w:val="es-MX"/>
        </w:rPr>
        <w:t>Jude</w:t>
      </w:r>
      <w:proofErr w:type="spellEnd"/>
      <w:r w:rsidRPr="00FD6016">
        <w:rPr>
          <w:rFonts w:ascii="Arial" w:hAnsi="Arial" w:cs="Arial"/>
          <w:lang w:val="es-MX"/>
        </w:rPr>
        <w:t xml:space="preserve"> </w:t>
      </w:r>
      <w:proofErr w:type="spellStart"/>
      <w:r w:rsidRPr="00FD6016">
        <w:rPr>
          <w:rFonts w:ascii="Arial" w:hAnsi="Arial" w:cs="Arial"/>
          <w:lang w:val="es-MX"/>
        </w:rPr>
        <w:t>Children's</w:t>
      </w:r>
      <w:proofErr w:type="spellEnd"/>
      <w:r w:rsidRPr="00FD6016">
        <w:rPr>
          <w:rFonts w:ascii="Arial" w:hAnsi="Arial" w:cs="Arial"/>
          <w:lang w:val="es-MX"/>
        </w:rPr>
        <w:t xml:space="preserve"> </w:t>
      </w:r>
      <w:proofErr w:type="spellStart"/>
      <w:r w:rsidRPr="00FD6016">
        <w:rPr>
          <w:rFonts w:ascii="Arial" w:hAnsi="Arial" w:cs="Arial"/>
          <w:lang w:val="es-MX"/>
        </w:rPr>
        <w:t>Research</w:t>
      </w:r>
      <w:proofErr w:type="spellEnd"/>
      <w:r w:rsidRPr="00FD6016">
        <w:rPr>
          <w:rFonts w:ascii="Arial" w:hAnsi="Arial" w:cs="Arial"/>
          <w:lang w:val="es-MX"/>
        </w:rPr>
        <w:t xml:space="preserve"> Hospital, </w:t>
      </w:r>
      <w:proofErr w:type="spellStart"/>
      <w:r w:rsidRPr="00FD6016">
        <w:rPr>
          <w:rFonts w:ascii="Arial" w:hAnsi="Arial" w:cs="Arial"/>
          <w:lang w:val="es-MX"/>
        </w:rPr>
        <w:t>n.d</w:t>
      </w:r>
      <w:proofErr w:type="spellEnd"/>
      <w:r w:rsidRPr="00FD6016">
        <w:rPr>
          <w:rFonts w:ascii="Arial" w:hAnsi="Arial" w:cs="Arial"/>
          <w:lang w:val="es-MX"/>
        </w:rPr>
        <w:t>.). Además, la evolución clonal y la adquisición de nuevas mutaciones genéticas en las células leucémicas durante o después del tratamiento contribuyen a la resistencia a los fármacos y a la eventual recaída (</w:t>
      </w:r>
      <w:proofErr w:type="spellStart"/>
      <w:r w:rsidRPr="00FD6016">
        <w:rPr>
          <w:rFonts w:ascii="Arial" w:hAnsi="Arial" w:cs="Arial"/>
          <w:lang w:val="es-MX"/>
        </w:rPr>
        <w:t>Blood</w:t>
      </w:r>
      <w:proofErr w:type="spellEnd"/>
      <w:r w:rsidRPr="00FD6016">
        <w:rPr>
          <w:rFonts w:ascii="Arial" w:hAnsi="Arial" w:cs="Arial"/>
          <w:lang w:val="es-MX"/>
        </w:rPr>
        <w:t xml:space="preserve">, 2023; </w:t>
      </w:r>
      <w:proofErr w:type="spellStart"/>
      <w:r w:rsidRPr="00FD6016">
        <w:rPr>
          <w:rFonts w:ascii="Arial" w:hAnsi="Arial" w:cs="Arial"/>
          <w:lang w:val="es-MX"/>
        </w:rPr>
        <w:t>Nature</w:t>
      </w:r>
      <w:proofErr w:type="spellEnd"/>
      <w:r w:rsidRPr="00FD6016">
        <w:rPr>
          <w:rFonts w:ascii="Arial" w:hAnsi="Arial" w:cs="Arial"/>
          <w:lang w:val="es-MX"/>
        </w:rPr>
        <w:t>, 2024).</w:t>
      </w:r>
    </w:p>
    <w:p w14:paraId="1DE6ED88" w14:textId="540E1F52" w:rsidR="00FD6016" w:rsidRPr="00FD6016" w:rsidRDefault="00FD6016" w:rsidP="00FD6016">
      <w:pPr>
        <w:spacing w:line="360" w:lineRule="auto"/>
        <w:jc w:val="both"/>
        <w:rPr>
          <w:rFonts w:ascii="Arial" w:hAnsi="Arial" w:cs="Arial"/>
          <w:lang w:val="es-MX"/>
        </w:rPr>
      </w:pPr>
      <w:r w:rsidRPr="00FD6016">
        <w:rPr>
          <w:rFonts w:ascii="Arial" w:hAnsi="Arial" w:cs="Arial"/>
          <w:lang w:val="es-MX"/>
        </w:rPr>
        <w:t xml:space="preserve">Factores pronósticos asociados con la recaída incluyen la edad del paciente, el recuento de glóbulos blancos al momento del diagnóstico, la respuesta temprana al tratamiento y la presencia de enfermedad residual mínima (ERM) (Cancer.org, 2019; </w:t>
      </w:r>
      <w:proofErr w:type="spellStart"/>
      <w:r w:rsidR="00A100EA">
        <w:rPr>
          <w:rFonts w:ascii="Arial" w:hAnsi="Arial" w:cs="Arial"/>
          <w:lang w:val="es-MX"/>
        </w:rPr>
        <w:t>Gökbuget</w:t>
      </w:r>
      <w:proofErr w:type="spellEnd"/>
      <w:r w:rsidR="00A100EA">
        <w:rPr>
          <w:rFonts w:ascii="Arial" w:hAnsi="Arial" w:cs="Arial"/>
          <w:lang w:val="es-MX"/>
        </w:rPr>
        <w:t xml:space="preserve"> et al.</w:t>
      </w:r>
      <w:r w:rsidRPr="00FD6016">
        <w:rPr>
          <w:rFonts w:ascii="Arial" w:hAnsi="Arial" w:cs="Arial"/>
          <w:lang w:val="es-MX"/>
        </w:rPr>
        <w:t>, 2012). La detección de ERM durante o después de la quimioterapia de inducción es un fuerte predictor de recaída y, por lo tanto, es un factor crucial para guiar las decisiones de tratamiento (</w:t>
      </w:r>
      <w:proofErr w:type="spellStart"/>
      <w:r w:rsidR="00814497" w:rsidRPr="00814497">
        <w:rPr>
          <w:rFonts w:ascii="Arial" w:hAnsi="Arial" w:cs="Arial"/>
          <w:lang w:val="es-MX"/>
        </w:rPr>
        <w:t>Early</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detection</w:t>
      </w:r>
      <w:proofErr w:type="spellEnd"/>
      <w:r w:rsidR="00814497" w:rsidRPr="00814497">
        <w:rPr>
          <w:rFonts w:ascii="Arial" w:hAnsi="Arial" w:cs="Arial"/>
          <w:lang w:val="es-MX"/>
        </w:rPr>
        <w:t xml:space="preserve">, diagnosis, and prognosis </w:t>
      </w:r>
      <w:proofErr w:type="spellStart"/>
      <w:r w:rsidR="00814497" w:rsidRPr="00814497">
        <w:rPr>
          <w:rFonts w:ascii="Arial" w:hAnsi="Arial" w:cs="Arial"/>
          <w:lang w:val="es-MX"/>
        </w:rPr>
        <w:t>of</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childhood</w:t>
      </w:r>
      <w:proofErr w:type="spellEnd"/>
      <w:r w:rsidR="00814497" w:rsidRPr="00814497">
        <w:rPr>
          <w:rFonts w:ascii="Arial" w:hAnsi="Arial" w:cs="Arial"/>
          <w:lang w:val="es-MX"/>
        </w:rPr>
        <w:t xml:space="preserve"> </w:t>
      </w:r>
      <w:proofErr w:type="spellStart"/>
      <w:r w:rsidR="00814497" w:rsidRPr="00814497">
        <w:rPr>
          <w:rFonts w:ascii="Arial" w:hAnsi="Arial" w:cs="Arial"/>
          <w:lang w:val="es-MX"/>
        </w:rPr>
        <w:t>leukemia</w:t>
      </w:r>
      <w:proofErr w:type="spellEnd"/>
      <w:r w:rsidR="00814497" w:rsidRPr="00814497">
        <w:rPr>
          <w:rFonts w:ascii="Arial" w:hAnsi="Arial" w:cs="Arial"/>
          <w:lang w:val="es-MX"/>
        </w:rPr>
        <w:t>, s/f</w:t>
      </w:r>
      <w:r w:rsidRPr="00FD6016">
        <w:rPr>
          <w:rFonts w:ascii="Arial" w:hAnsi="Arial" w:cs="Arial"/>
          <w:lang w:val="es-MX"/>
        </w:rPr>
        <w:t xml:space="preserve">). La localización de la recaída también influye en el pronóstico, siendo las recaídas en la médula ósea particularmente graves (Merck </w:t>
      </w:r>
      <w:proofErr w:type="spellStart"/>
      <w:r w:rsidRPr="00FD6016">
        <w:rPr>
          <w:rFonts w:ascii="Arial" w:hAnsi="Arial" w:cs="Arial"/>
          <w:lang w:val="es-MX"/>
        </w:rPr>
        <w:t>Manuals</w:t>
      </w:r>
      <w:proofErr w:type="spellEnd"/>
      <w:r w:rsidRPr="00FD6016">
        <w:rPr>
          <w:rFonts w:ascii="Arial" w:hAnsi="Arial" w:cs="Arial"/>
          <w:lang w:val="es-MX"/>
        </w:rPr>
        <w:t xml:space="preserve">, </w:t>
      </w:r>
      <w:proofErr w:type="spellStart"/>
      <w:r w:rsidRPr="00FD6016">
        <w:rPr>
          <w:rFonts w:ascii="Arial" w:hAnsi="Arial" w:cs="Arial"/>
          <w:lang w:val="es-MX"/>
        </w:rPr>
        <w:t>n.d</w:t>
      </w:r>
      <w:proofErr w:type="spellEnd"/>
      <w:r w:rsidRPr="00FD6016">
        <w:rPr>
          <w:rFonts w:ascii="Arial" w:hAnsi="Arial" w:cs="Arial"/>
          <w:lang w:val="es-MX"/>
        </w:rPr>
        <w:t>.).</w:t>
      </w:r>
    </w:p>
    <w:p w14:paraId="642D8580" w14:textId="3F334A0E" w:rsidR="00641D7E" w:rsidRPr="00641D7E" w:rsidRDefault="00FD6016" w:rsidP="00FD6016">
      <w:pPr>
        <w:spacing w:line="360" w:lineRule="auto"/>
        <w:jc w:val="both"/>
        <w:rPr>
          <w:rFonts w:ascii="Arial" w:hAnsi="Arial" w:cs="Arial"/>
          <w:lang w:val="es-MX"/>
        </w:rPr>
      </w:pPr>
      <w:r w:rsidRPr="00FD6016">
        <w:rPr>
          <w:rFonts w:ascii="Arial" w:hAnsi="Arial" w:cs="Arial"/>
          <w:lang w:val="es-MX"/>
        </w:rPr>
        <w:t>El pronóstico de los pacientes con LLA en recaída ha mejorado con el desarrollo de nuevas terapias, pero sigue siendo un área de intensa investigación. La identificación de biomarcadores y mecanismos de resistencia es fundamental para desarrollar estrategias de tratamiento más efectivas y prevenir la recaída (</w:t>
      </w:r>
      <w:proofErr w:type="spellStart"/>
      <w:r w:rsidRPr="00FD6016">
        <w:rPr>
          <w:rFonts w:ascii="Arial" w:hAnsi="Arial" w:cs="Arial"/>
          <w:lang w:val="es-MX"/>
        </w:rPr>
        <w:t>ScienceDirect</w:t>
      </w:r>
      <w:proofErr w:type="spellEnd"/>
      <w:r w:rsidRPr="00FD6016">
        <w:rPr>
          <w:rFonts w:ascii="Arial" w:hAnsi="Arial" w:cs="Arial"/>
          <w:lang w:val="es-MX"/>
        </w:rPr>
        <w:t>, 2025).</w:t>
      </w:r>
    </w:p>
    <w:p w14:paraId="799130A2" w14:textId="4C2DA0D1" w:rsidR="004D7B71" w:rsidRPr="004D7B71" w:rsidRDefault="004D7B71" w:rsidP="00D9312C">
      <w:pPr>
        <w:spacing w:line="360" w:lineRule="auto"/>
        <w:jc w:val="both"/>
        <w:rPr>
          <w:rFonts w:ascii="Arial" w:hAnsi="Arial" w:cs="Arial"/>
          <w:b/>
          <w:bCs/>
          <w:i/>
          <w:iCs/>
          <w:szCs w:val="20"/>
          <w:lang w:val="es-MX"/>
        </w:rPr>
      </w:pPr>
      <w:r w:rsidRPr="004D7B71">
        <w:rPr>
          <w:rFonts w:ascii="Arial" w:hAnsi="Arial" w:cs="Arial"/>
          <w:b/>
          <w:bCs/>
          <w:i/>
          <w:iCs/>
          <w:szCs w:val="20"/>
          <w:lang w:val="es-ES"/>
        </w:rPr>
        <w:t xml:space="preserve">Ejercicio en pacientes </w:t>
      </w:r>
      <w:proofErr w:type="spellStart"/>
      <w:r w:rsidRPr="004D7B71">
        <w:rPr>
          <w:rFonts w:ascii="Arial" w:hAnsi="Arial" w:cs="Arial"/>
          <w:b/>
          <w:bCs/>
          <w:i/>
          <w:iCs/>
          <w:szCs w:val="20"/>
          <w:lang w:val="es-ES"/>
        </w:rPr>
        <w:t>hemato-oncol</w:t>
      </w:r>
      <w:r w:rsidRPr="004D7B71">
        <w:rPr>
          <w:rFonts w:ascii="Arial" w:hAnsi="Arial" w:cs="Arial"/>
          <w:b/>
          <w:bCs/>
          <w:i/>
          <w:iCs/>
          <w:szCs w:val="20"/>
          <w:lang w:val="es-MX"/>
        </w:rPr>
        <w:t>ógicos</w:t>
      </w:r>
      <w:proofErr w:type="spellEnd"/>
    </w:p>
    <w:p w14:paraId="0DAC5147" w14:textId="77777777" w:rsidR="00FD6016" w:rsidRDefault="00FD6016" w:rsidP="00412013">
      <w:pPr>
        <w:spacing w:line="360" w:lineRule="auto"/>
        <w:jc w:val="both"/>
        <w:rPr>
          <w:rFonts w:ascii="Arial" w:hAnsi="Arial" w:cs="Arial"/>
          <w:lang w:val="es-ES"/>
        </w:rPr>
      </w:pPr>
      <w:r w:rsidRPr="00FD6016">
        <w:rPr>
          <w:rFonts w:ascii="Arial" w:hAnsi="Arial" w:cs="Arial"/>
          <w:lang w:val="es-ES"/>
        </w:rPr>
        <w:t xml:space="preserve">Dentro del tratamiento multidisciplinario que recibe un paciente oncológico en las últimas décadas, el ejercicio se ha considerado como una de las terapias fundamentales, ya que se ha demostrado que brinda beneficios a los pacientes previo, durante y posterior a la quimioterapia, así como en la rehabilitación. </w:t>
      </w:r>
      <w:proofErr w:type="spellStart"/>
      <w:r w:rsidRPr="00FD6016">
        <w:rPr>
          <w:rFonts w:ascii="Arial" w:hAnsi="Arial" w:cs="Arial"/>
          <w:lang w:val="es-ES"/>
        </w:rPr>
        <w:t>Hilfiker</w:t>
      </w:r>
      <w:proofErr w:type="spellEnd"/>
      <w:r w:rsidRPr="00FD6016">
        <w:rPr>
          <w:rFonts w:ascii="Arial" w:hAnsi="Arial" w:cs="Arial"/>
          <w:lang w:val="es-ES"/>
        </w:rPr>
        <w:t xml:space="preserve"> y colaboradores en su metaanálisis </w:t>
      </w:r>
      <w:r w:rsidRPr="00FD6016">
        <w:rPr>
          <w:rFonts w:ascii="Arial" w:hAnsi="Arial" w:cs="Arial"/>
          <w:lang w:val="es-ES"/>
        </w:rPr>
        <w:lastRenderedPageBreak/>
        <w:t>incluyeron 245 ensayos clínicos comparando diferentes intervenciones incluyendo al ejercicio en pacientes durante y después de diferentes tipos tratamientos, identificando que la actividad física es segura y no se necesita una intervención que involucre mucho movimiento o desgaste físico (aeróbica, de resistencia o combinada) ya que hasta ejercicios de relajación, masajes y yoga fungen como factores protectores en cualquier periodo del tratamiento de cáncer (</w:t>
      </w:r>
      <w:proofErr w:type="spellStart"/>
      <w:r w:rsidRPr="00FD6016">
        <w:rPr>
          <w:rFonts w:ascii="Arial" w:hAnsi="Arial" w:cs="Arial"/>
          <w:lang w:val="es-ES"/>
        </w:rPr>
        <w:t>Hilfiker</w:t>
      </w:r>
      <w:proofErr w:type="spellEnd"/>
      <w:r w:rsidRPr="00FD6016">
        <w:rPr>
          <w:rFonts w:ascii="Arial" w:hAnsi="Arial" w:cs="Arial"/>
          <w:lang w:val="es-ES"/>
        </w:rPr>
        <w:t xml:space="preserve"> et al., 2018). </w:t>
      </w:r>
    </w:p>
    <w:p w14:paraId="29E4C114" w14:textId="26B6D042" w:rsidR="00A9722E" w:rsidRPr="00FD6016" w:rsidRDefault="00FD6016" w:rsidP="00412013">
      <w:pPr>
        <w:spacing w:line="360" w:lineRule="auto"/>
        <w:jc w:val="both"/>
        <w:rPr>
          <w:rFonts w:ascii="Arial" w:hAnsi="Arial" w:cs="Arial"/>
          <w:lang w:val="es-MX"/>
        </w:rPr>
      </w:pPr>
      <w:r w:rsidRPr="00FD6016">
        <w:rPr>
          <w:rFonts w:ascii="Arial" w:hAnsi="Arial" w:cs="Arial"/>
          <w:lang w:val="es-ES"/>
        </w:rPr>
        <w:t>Uno de los beneficios potenciales de la terapia física es la reducción del riesgo de sarcopenia o secuelas motrices, sin embargo, aun la evidencia es limitada, en especial en etapas tempranas del tratamiento (</w:t>
      </w:r>
      <w:proofErr w:type="spellStart"/>
      <w:r w:rsidRPr="00FD6016">
        <w:rPr>
          <w:rFonts w:ascii="Arial" w:hAnsi="Arial" w:cs="Arial"/>
          <w:lang w:val="es-ES"/>
        </w:rPr>
        <w:t>Jarden</w:t>
      </w:r>
      <w:proofErr w:type="spellEnd"/>
      <w:r w:rsidRPr="00FD6016">
        <w:rPr>
          <w:rFonts w:ascii="Arial" w:hAnsi="Arial" w:cs="Arial"/>
          <w:lang w:val="es-ES"/>
        </w:rPr>
        <w:t xml:space="preserve"> et al., 2013). Evidencia previa ha determinado que el ejercicio de resistencia es el estándar de oro para el manejo de pacientes oncológicos, ya que ha demostrado prevenir significativamente el deterioro muscular asociado a la enfermedad. A pesar de que también se ha demostrado beneficios en pacientes sometidos a ejercicios aeróbicos, se considera que una rutina que involucre una combinación de ambos tipos pueda brindar los beneficios de cada una a los pacientes hematológicos. El ejercicio cruzado es un tipo de entrenamiento que se basa en la combinación de ejercicios de resistencia y aeróbicos en periodos cortos de tiempo. El objetivo de este tipo de entrenamiento es incrementar el bienestar físico general de una manera más eficiente (Drake et al., 2017).</w:t>
      </w:r>
      <w:r w:rsidR="004D7B71" w:rsidRPr="009A00DB">
        <w:rPr>
          <w:rFonts w:ascii="Arial" w:hAnsi="Arial" w:cs="Arial"/>
          <w:lang w:val="es-ES"/>
        </w:rPr>
        <w:t xml:space="preserve"> </w:t>
      </w:r>
    </w:p>
    <w:p w14:paraId="11F3A3A3" w14:textId="02F9CCB4" w:rsidR="004D7B71" w:rsidRDefault="00641D7E" w:rsidP="00D9312C">
      <w:pPr>
        <w:spacing w:line="360" w:lineRule="auto"/>
        <w:jc w:val="both"/>
        <w:rPr>
          <w:rFonts w:ascii="Arial" w:hAnsi="Arial" w:cs="Arial"/>
          <w:b/>
          <w:bCs/>
          <w:i/>
          <w:iCs/>
          <w:szCs w:val="20"/>
          <w:lang w:val="es-MX"/>
        </w:rPr>
      </w:pPr>
      <w:r>
        <w:rPr>
          <w:rFonts w:ascii="Arial" w:hAnsi="Arial" w:cs="Arial"/>
          <w:b/>
          <w:bCs/>
          <w:i/>
          <w:iCs/>
          <w:szCs w:val="20"/>
          <w:lang w:val="es-MX"/>
        </w:rPr>
        <w:t>Desempeño físico como marcador pronóstico de recaída</w:t>
      </w:r>
    </w:p>
    <w:p w14:paraId="05E5EAA7" w14:textId="7DBAB670" w:rsidR="00FD6016" w:rsidRPr="00FD6016" w:rsidRDefault="00FD6016" w:rsidP="00FD6016">
      <w:pPr>
        <w:spacing w:line="360" w:lineRule="auto"/>
        <w:jc w:val="both"/>
        <w:rPr>
          <w:rFonts w:ascii="Arial" w:hAnsi="Arial" w:cs="Arial"/>
          <w:szCs w:val="20"/>
          <w:lang w:val="es-MX"/>
        </w:rPr>
      </w:pPr>
      <w:r w:rsidRPr="00FD6016">
        <w:rPr>
          <w:rFonts w:ascii="Arial" w:hAnsi="Arial" w:cs="Arial"/>
          <w:szCs w:val="20"/>
          <w:lang w:val="es-MX"/>
        </w:rPr>
        <w:t>El desempeño físico ha emergido como un biomarcador pronóstico importante en pacientes oncológicos supervivientes. Estudios han demostrado que la función física, medida objetivamente, puede predecir la mortalidad en esta población. Por ejemplo, una disminución en el desempeño físico después de un diagnóstico de cáncer se asocia con un aumento en el riesgo de muerte por todas las causas (Brown et al., 2014). La capacidad de realizar actividades diarias, como caminar o subir escaleras, se correlaciona directamente con la salud general y la vitalidad de los pacientes oncológicos.</w:t>
      </w:r>
    </w:p>
    <w:p w14:paraId="08C610CE" w14:textId="70C3E2CB" w:rsidR="00FD6016" w:rsidRPr="00FD6016" w:rsidRDefault="00FD6016" w:rsidP="00FD6016">
      <w:pPr>
        <w:spacing w:line="360" w:lineRule="auto"/>
        <w:jc w:val="both"/>
        <w:rPr>
          <w:rFonts w:ascii="Arial" w:hAnsi="Arial" w:cs="Arial"/>
          <w:szCs w:val="20"/>
          <w:lang w:val="es-MX"/>
        </w:rPr>
      </w:pPr>
      <w:r w:rsidRPr="00FD6016">
        <w:rPr>
          <w:rFonts w:ascii="Arial" w:hAnsi="Arial" w:cs="Arial"/>
          <w:szCs w:val="20"/>
          <w:lang w:val="es-MX"/>
        </w:rPr>
        <w:t xml:space="preserve">La evaluación del desempeño físico se puede realizar mediante diversas herramientas, como la batería de </w:t>
      </w:r>
      <w:r w:rsidR="00D33E22">
        <w:rPr>
          <w:rFonts w:ascii="Arial" w:hAnsi="Arial" w:cs="Arial"/>
          <w:szCs w:val="20"/>
          <w:lang w:val="es-MX"/>
        </w:rPr>
        <w:t>desempeño</w:t>
      </w:r>
      <w:r w:rsidRPr="00FD6016">
        <w:rPr>
          <w:rFonts w:ascii="Arial" w:hAnsi="Arial" w:cs="Arial"/>
          <w:szCs w:val="20"/>
          <w:lang w:val="es-MX"/>
        </w:rPr>
        <w:t xml:space="preserve"> físico corto (SPPB) y la velocidad de marcha rápida. Estas medidas objetivas son capaces de cuantificar la salud y la vitalidad, y se ha demostrado </w:t>
      </w:r>
      <w:r w:rsidRPr="00FD6016">
        <w:rPr>
          <w:rFonts w:ascii="Arial" w:hAnsi="Arial" w:cs="Arial"/>
          <w:szCs w:val="20"/>
          <w:lang w:val="es-MX"/>
        </w:rPr>
        <w:lastRenderedPageBreak/>
        <w:t>que predicen la mortalidad prematura en una muestra poblacional de supervivientes de cáncer (Brown et al., 2014). Un aumento de una unidad en la puntuación SPPB o un aumento de 0.1 m/s en la velocidad de marcha rápida predice una reducción del 12% en la mortalidad.</w:t>
      </w:r>
    </w:p>
    <w:p w14:paraId="5EB8C68E" w14:textId="1358AC4F" w:rsidR="00FD6016" w:rsidRDefault="00FD6016" w:rsidP="00FD6016">
      <w:pPr>
        <w:spacing w:line="360" w:lineRule="auto"/>
        <w:jc w:val="both"/>
        <w:rPr>
          <w:rFonts w:ascii="Arial" w:hAnsi="Arial" w:cs="Arial"/>
          <w:szCs w:val="20"/>
          <w:lang w:val="es-MX"/>
        </w:rPr>
      </w:pPr>
      <w:r w:rsidRPr="00FD6016">
        <w:rPr>
          <w:rFonts w:ascii="Arial" w:hAnsi="Arial" w:cs="Arial"/>
          <w:szCs w:val="20"/>
          <w:lang w:val="es-MX"/>
        </w:rPr>
        <w:t xml:space="preserve">La relación entre el desempeño físico y el pronóstico es bidireccional. Mientras que la disminución del desempeño físico puede ser un indicador de un peor pronóstico, la mejora del desempeño físico a través de intervenciones como el ejercicio estructurado puede tener un impacto positivo en la supervivencia. Aunque la actividad física basal no modifica la asociación entre el desempeño físico después del diagnóstico de cáncer y el riesgo de muerte, el entrenamiento de ejercicio estructurado puede mejorar el desempeño físico. En un metaanálisis de datos de pacientes individuales de 32 estudios de supervivientes de cáncer, la aleatorización al ejercicio estructurado frente al control provocó un aumento </w:t>
      </w:r>
      <w:r w:rsidR="00D0375D" w:rsidRPr="00FD6016">
        <w:rPr>
          <w:rFonts w:ascii="Arial" w:hAnsi="Arial" w:cs="Arial"/>
          <w:szCs w:val="20"/>
          <w:lang w:val="es-MX"/>
        </w:rPr>
        <w:t>pequeño,</w:t>
      </w:r>
      <w:r w:rsidRPr="00FD6016">
        <w:rPr>
          <w:rFonts w:ascii="Arial" w:hAnsi="Arial" w:cs="Arial"/>
          <w:szCs w:val="20"/>
          <w:lang w:val="es-MX"/>
        </w:rPr>
        <w:t xml:space="preserve"> pero estadísticamente significativo en la función física </w:t>
      </w:r>
      <w:proofErr w:type="spellStart"/>
      <w:r w:rsidRPr="00FD6016">
        <w:rPr>
          <w:rFonts w:ascii="Arial" w:hAnsi="Arial" w:cs="Arial"/>
          <w:szCs w:val="20"/>
          <w:lang w:val="es-MX"/>
        </w:rPr>
        <w:t>autoinformada</w:t>
      </w:r>
      <w:proofErr w:type="spellEnd"/>
      <w:r w:rsidRPr="00FD6016">
        <w:rPr>
          <w:rFonts w:ascii="Arial" w:hAnsi="Arial" w:cs="Arial"/>
          <w:szCs w:val="20"/>
          <w:lang w:val="es-MX"/>
        </w:rPr>
        <w:t xml:space="preserve"> (Brown et al., 2014)</w:t>
      </w:r>
      <w:r>
        <w:rPr>
          <w:rFonts w:ascii="Arial" w:hAnsi="Arial" w:cs="Arial"/>
          <w:szCs w:val="20"/>
          <w:lang w:val="es-MX"/>
        </w:rPr>
        <w:t>.</w:t>
      </w:r>
    </w:p>
    <w:bookmarkEnd w:id="1"/>
    <w:p w14:paraId="6348B77F" w14:textId="5D9A827E" w:rsidR="00E74394" w:rsidRPr="0094257D" w:rsidRDefault="00E74394" w:rsidP="00D9312C">
      <w:pPr>
        <w:spacing w:line="360" w:lineRule="auto"/>
        <w:jc w:val="both"/>
        <w:rPr>
          <w:rFonts w:ascii="Arial" w:hAnsi="Arial" w:cs="Arial"/>
          <w:b/>
          <w:bCs/>
          <w:lang w:val="es-MX"/>
        </w:rPr>
      </w:pPr>
      <w:r w:rsidRPr="0094257D">
        <w:rPr>
          <w:rFonts w:ascii="Arial" w:hAnsi="Arial" w:cs="Arial"/>
          <w:b/>
          <w:bCs/>
          <w:lang w:val="es-MX"/>
        </w:rPr>
        <w:t xml:space="preserve">Planteamiento </w:t>
      </w:r>
      <w:r w:rsidR="0009757B" w:rsidRPr="0094257D">
        <w:rPr>
          <w:rFonts w:ascii="Arial" w:hAnsi="Arial" w:cs="Arial"/>
          <w:b/>
          <w:bCs/>
          <w:lang w:val="es-MX"/>
        </w:rPr>
        <w:t>del problema</w:t>
      </w:r>
    </w:p>
    <w:p w14:paraId="1B1F0A12" w14:textId="5E1C7863" w:rsidR="005129DC" w:rsidRPr="005129DC" w:rsidRDefault="005129DC" w:rsidP="005129DC">
      <w:pPr>
        <w:spacing w:line="360" w:lineRule="auto"/>
        <w:jc w:val="both"/>
        <w:rPr>
          <w:rFonts w:ascii="Arial" w:hAnsi="Arial" w:cs="Arial"/>
          <w:lang w:val="es-MX"/>
        </w:rPr>
      </w:pPr>
      <w:r w:rsidRPr="005129DC">
        <w:rPr>
          <w:rFonts w:ascii="Arial" w:hAnsi="Arial" w:cs="Arial"/>
          <w:lang w:val="es-MX"/>
        </w:rPr>
        <w:t>La leucemia linfoblástica aguda (LLA) continúa siendo una de las principales neoplasias hematológicas en adultos jóvenes, con altas tasas de recaída a pesar de los avances en la terapia quimioterapéutica. Si bien se han identificado diversos factores pronósticos de recaída, como la enfermedad residual mínima y las alteraciones genéticas, la mayoría de estos requieren estudios especializados y costosos, lo cual limita su aplicación rutinaria en todos los contextos clínicos.</w:t>
      </w:r>
    </w:p>
    <w:p w14:paraId="6883E557" w14:textId="1B5D6B76" w:rsidR="005129DC" w:rsidRPr="005129DC" w:rsidRDefault="005129DC" w:rsidP="005129DC">
      <w:pPr>
        <w:spacing w:line="360" w:lineRule="auto"/>
        <w:jc w:val="both"/>
        <w:rPr>
          <w:rFonts w:ascii="Arial" w:hAnsi="Arial" w:cs="Arial"/>
          <w:lang w:val="es-MX"/>
        </w:rPr>
      </w:pPr>
      <w:r w:rsidRPr="005129DC">
        <w:rPr>
          <w:rFonts w:ascii="Arial" w:hAnsi="Arial" w:cs="Arial"/>
          <w:lang w:val="es-MX"/>
        </w:rPr>
        <w:t>Durante las últimas décadas, se ha incorporado el ejercicio físico como parte del tratamiento integral en pacientes oncológicos, demostrando beneficios funcionales, metabólicos y emocionales. En poblaciones oncológicas, se ha observado que un mejor desempeño físico se asocia con menor mortalidad general y mejor pronóstico. Sin embargo, la evidencia sobre el valor del desempeño físico como marcador de riesgo de recaída en pacientes con LLA es limitada.</w:t>
      </w:r>
    </w:p>
    <w:p w14:paraId="758704EF" w14:textId="63EA069C" w:rsidR="0009757B" w:rsidRDefault="005129DC" w:rsidP="005129DC">
      <w:pPr>
        <w:spacing w:line="360" w:lineRule="auto"/>
        <w:jc w:val="both"/>
        <w:rPr>
          <w:rFonts w:ascii="Arial" w:hAnsi="Arial" w:cs="Arial"/>
          <w:lang w:val="es-MX"/>
        </w:rPr>
      </w:pPr>
      <w:r w:rsidRPr="005129DC">
        <w:rPr>
          <w:rFonts w:ascii="Arial" w:hAnsi="Arial" w:cs="Arial"/>
          <w:lang w:val="es-MX"/>
        </w:rPr>
        <w:t xml:space="preserve">A pesar de que se ha documentado que el ejercicio estructurado puede mejorar de forma significativa la fuerza muscular, el equilibrio y la movilidad en pacientes hematológicos, </w:t>
      </w:r>
      <w:r w:rsidRPr="005129DC">
        <w:rPr>
          <w:rFonts w:ascii="Arial" w:hAnsi="Arial" w:cs="Arial"/>
          <w:lang w:val="es-MX"/>
        </w:rPr>
        <w:lastRenderedPageBreak/>
        <w:t xml:space="preserve">no </w:t>
      </w:r>
      <w:r w:rsidR="00B55521">
        <w:rPr>
          <w:rFonts w:ascii="Arial" w:hAnsi="Arial" w:cs="Arial"/>
          <w:lang w:val="es-MX"/>
        </w:rPr>
        <w:t>existe un consenso claro sobre</w:t>
      </w:r>
      <w:r w:rsidRPr="005129DC">
        <w:rPr>
          <w:rFonts w:ascii="Arial" w:hAnsi="Arial" w:cs="Arial"/>
          <w:lang w:val="es-MX"/>
        </w:rPr>
        <w:t xml:space="preserve"> si estas mejoras </w:t>
      </w:r>
      <w:r w:rsidR="00B55521">
        <w:rPr>
          <w:rFonts w:ascii="Arial" w:hAnsi="Arial" w:cs="Arial"/>
          <w:lang w:val="es-MX"/>
        </w:rPr>
        <w:t>en el desempeño físico</w:t>
      </w:r>
      <w:r w:rsidRPr="005129DC">
        <w:rPr>
          <w:rFonts w:ascii="Arial" w:hAnsi="Arial" w:cs="Arial"/>
          <w:lang w:val="es-MX"/>
        </w:rPr>
        <w:t xml:space="preserve"> pueden estar relacionadas con una menor probabilidad de recaída clínica. En este contexto, surge la necesidad de analizar si el desempeño físico al final de una intervención con ejercicio puede asociarse con la evolución clínica del paciente, específicamente con l</w:t>
      </w:r>
      <w:r w:rsidR="00B55521">
        <w:rPr>
          <w:rFonts w:ascii="Arial" w:hAnsi="Arial" w:cs="Arial"/>
          <w:lang w:val="es-MX"/>
        </w:rPr>
        <w:t>a presencia</w:t>
      </w:r>
      <w:r w:rsidRPr="005129DC">
        <w:rPr>
          <w:rFonts w:ascii="Arial" w:hAnsi="Arial" w:cs="Arial"/>
          <w:lang w:val="es-MX"/>
        </w:rPr>
        <w:t xml:space="preserve"> de recaídas, lo cual podría representar una herramienta accesible, objetiva y no invasiva en el seguimiento de esta población.</w:t>
      </w:r>
    </w:p>
    <w:p w14:paraId="5680F094" w14:textId="4A22CBF0" w:rsidR="00D86132" w:rsidRDefault="00D86132" w:rsidP="005129DC">
      <w:pPr>
        <w:spacing w:line="360" w:lineRule="auto"/>
        <w:jc w:val="both"/>
        <w:rPr>
          <w:rFonts w:ascii="Arial" w:hAnsi="Arial" w:cs="Arial"/>
          <w:lang w:val="es-MX"/>
        </w:rPr>
      </w:pPr>
      <w:r>
        <w:rPr>
          <w:rFonts w:ascii="Arial" w:hAnsi="Arial" w:cs="Arial"/>
          <w:lang w:val="es-MX"/>
        </w:rPr>
        <w:t>A partir del siguiente planteamiento del problema se formuló la pregunta de investigación que se buscará resolver con este estudio:</w:t>
      </w:r>
    </w:p>
    <w:p w14:paraId="136DC053" w14:textId="7627F26C" w:rsidR="00D86132" w:rsidRDefault="00D86132" w:rsidP="005129DC">
      <w:pPr>
        <w:spacing w:line="360" w:lineRule="auto"/>
        <w:jc w:val="both"/>
        <w:rPr>
          <w:rFonts w:ascii="Arial" w:hAnsi="Arial" w:cs="Arial"/>
          <w:lang w:val="es-MX"/>
        </w:rPr>
      </w:pPr>
      <w:r w:rsidRPr="00D86132">
        <w:rPr>
          <w:rFonts w:ascii="Arial" w:hAnsi="Arial" w:cs="Arial"/>
          <w:lang w:val="es-MX"/>
        </w:rPr>
        <w:t>¿Existe una correlación entre el nivel de desempeño físico al finalizar un programa de ejercicio estructurado y la probabilidad de recaída clínica en pacientes adultos jóvenes con leucemia linfoblástica aguda?</w:t>
      </w:r>
    </w:p>
    <w:p w14:paraId="5AD5EE71" w14:textId="07768C0B" w:rsidR="00E4594D" w:rsidRPr="0094257D" w:rsidRDefault="00E4594D" w:rsidP="00D9312C">
      <w:pPr>
        <w:spacing w:line="360" w:lineRule="auto"/>
        <w:jc w:val="both"/>
        <w:rPr>
          <w:rFonts w:ascii="Arial" w:hAnsi="Arial" w:cs="Arial"/>
          <w:b/>
          <w:bCs/>
          <w:lang w:val="es-MX"/>
        </w:rPr>
      </w:pPr>
      <w:r w:rsidRPr="00A325C1">
        <w:rPr>
          <w:rFonts w:ascii="Arial" w:hAnsi="Arial" w:cs="Arial"/>
          <w:b/>
          <w:bCs/>
          <w:lang w:val="es-MX"/>
        </w:rPr>
        <w:t>Hipótesis</w:t>
      </w:r>
    </w:p>
    <w:p w14:paraId="29AC8779" w14:textId="4C06956C" w:rsidR="00E4594D" w:rsidRPr="00A14CFA" w:rsidRDefault="00761A48" w:rsidP="00D9312C">
      <w:pPr>
        <w:spacing w:line="360" w:lineRule="auto"/>
        <w:jc w:val="both"/>
        <w:rPr>
          <w:rFonts w:ascii="Arial" w:hAnsi="Arial" w:cs="Arial"/>
          <w:i/>
          <w:iCs/>
          <w:lang w:val="es-MX"/>
        </w:rPr>
      </w:pPr>
      <w:r w:rsidRPr="00A14CFA">
        <w:rPr>
          <w:rFonts w:ascii="Arial" w:hAnsi="Arial" w:cs="Arial"/>
          <w:i/>
          <w:iCs/>
          <w:lang w:val="es-MX"/>
        </w:rPr>
        <w:t>Hipótesis de investigación</w:t>
      </w:r>
    </w:p>
    <w:p w14:paraId="0EC3F7F0" w14:textId="2844B750" w:rsidR="003661D1" w:rsidRDefault="00A14CFA" w:rsidP="00D9312C">
      <w:pPr>
        <w:spacing w:line="360" w:lineRule="auto"/>
        <w:jc w:val="both"/>
        <w:rPr>
          <w:rFonts w:ascii="Arial" w:hAnsi="Arial" w:cs="Arial"/>
          <w:lang w:val="es-MX"/>
        </w:rPr>
      </w:pPr>
      <w:r w:rsidRPr="00A14CFA">
        <w:rPr>
          <w:rFonts w:ascii="Arial" w:hAnsi="Arial" w:cs="Arial"/>
          <w:lang w:val="es-MX"/>
        </w:rPr>
        <w:t>Los pacientes adultos jóvenes con leucemia linfoblástica aguda que presentan un mayor nivel de desempeño físico al finalizar una intervención con ejercicio físico supervisado tendrán una menor probabilidad de recaída clínica, en comparación con aquellos con menor desempeño físico.</w:t>
      </w:r>
    </w:p>
    <w:p w14:paraId="53C4E730" w14:textId="4BC990C7" w:rsidR="00761A48" w:rsidRPr="00A14CFA" w:rsidRDefault="00761A48" w:rsidP="00D9312C">
      <w:pPr>
        <w:spacing w:line="360" w:lineRule="auto"/>
        <w:jc w:val="both"/>
        <w:rPr>
          <w:rFonts w:ascii="Arial" w:hAnsi="Arial" w:cs="Arial"/>
          <w:i/>
          <w:iCs/>
          <w:lang w:val="es-MX"/>
        </w:rPr>
      </w:pPr>
      <w:r w:rsidRPr="00A14CFA">
        <w:rPr>
          <w:rFonts w:ascii="Arial" w:hAnsi="Arial" w:cs="Arial"/>
          <w:i/>
          <w:iCs/>
          <w:lang w:val="es-MX"/>
        </w:rPr>
        <w:t>Hipótesis nula</w:t>
      </w:r>
    </w:p>
    <w:p w14:paraId="2D692905" w14:textId="2BB127CD" w:rsidR="00157433" w:rsidRPr="0094257D" w:rsidRDefault="00A14CFA" w:rsidP="00D9312C">
      <w:pPr>
        <w:spacing w:line="360" w:lineRule="auto"/>
        <w:jc w:val="both"/>
        <w:rPr>
          <w:rFonts w:ascii="Arial" w:hAnsi="Arial" w:cs="Arial"/>
          <w:lang w:val="es-MX"/>
        </w:rPr>
      </w:pPr>
      <w:r w:rsidRPr="00A14CFA">
        <w:rPr>
          <w:rFonts w:ascii="Arial" w:hAnsi="Arial" w:cs="Arial"/>
          <w:lang w:val="es-MX"/>
        </w:rPr>
        <w:t xml:space="preserve">El nivel de desempeño físico al finalizar una intervención con ejercicio físico supervisado no se </w:t>
      </w:r>
      <w:r>
        <w:rPr>
          <w:rFonts w:ascii="Arial" w:hAnsi="Arial" w:cs="Arial"/>
          <w:lang w:val="es-MX"/>
        </w:rPr>
        <w:t>correlacionará</w:t>
      </w:r>
      <w:r w:rsidRPr="00A14CFA">
        <w:rPr>
          <w:rFonts w:ascii="Arial" w:hAnsi="Arial" w:cs="Arial"/>
          <w:lang w:val="es-MX"/>
        </w:rPr>
        <w:t xml:space="preserve"> con la probabilidad de recaída clínica en pacientes adultos jóvenes con leucemia linfoblástica aguda.</w:t>
      </w:r>
    </w:p>
    <w:p w14:paraId="7A072441" w14:textId="4E12C601" w:rsidR="00E74394" w:rsidRDefault="00E74394" w:rsidP="00D9312C">
      <w:pPr>
        <w:spacing w:line="360" w:lineRule="auto"/>
        <w:jc w:val="both"/>
        <w:rPr>
          <w:rFonts w:ascii="Arial" w:hAnsi="Arial" w:cs="Arial"/>
          <w:b/>
          <w:bCs/>
          <w:lang w:val="es-MX"/>
        </w:rPr>
      </w:pPr>
      <w:r w:rsidRPr="0094257D">
        <w:rPr>
          <w:rFonts w:ascii="Arial" w:hAnsi="Arial" w:cs="Arial"/>
          <w:b/>
          <w:bCs/>
          <w:lang w:val="es-MX"/>
        </w:rPr>
        <w:t>Justificación</w:t>
      </w:r>
    </w:p>
    <w:p w14:paraId="3B139632" w14:textId="77777777" w:rsidR="00B55521" w:rsidRPr="00B55521" w:rsidRDefault="00B55521" w:rsidP="00B55521">
      <w:pPr>
        <w:spacing w:line="360" w:lineRule="auto"/>
        <w:jc w:val="both"/>
        <w:rPr>
          <w:rFonts w:ascii="Arial" w:hAnsi="Arial" w:cs="Arial"/>
          <w:lang w:val="es-MX"/>
        </w:rPr>
      </w:pPr>
      <w:r w:rsidRPr="00B55521">
        <w:rPr>
          <w:rFonts w:ascii="Arial" w:hAnsi="Arial" w:cs="Arial"/>
          <w:lang w:val="es-MX"/>
        </w:rPr>
        <w:t>Actualmente, los indicadores funcionales como el desempeño físico han cobrado relevancia como marcadores pronósticos en pacientes con distintos tipos de cáncer. Sin embargo, su aplicación en el contexto de la leucemia linfoblástica aguda sigue siendo escasa, a pesar de que el deterioro físico es una complicación frecuente derivada del tratamiento y de la hospitalización prolongada.</w:t>
      </w:r>
    </w:p>
    <w:p w14:paraId="7975BF4C" w14:textId="77777777" w:rsidR="00B55521" w:rsidRPr="00B55521" w:rsidRDefault="00B55521" w:rsidP="00B55521">
      <w:pPr>
        <w:spacing w:line="360" w:lineRule="auto"/>
        <w:jc w:val="both"/>
        <w:rPr>
          <w:rFonts w:ascii="Arial" w:hAnsi="Arial" w:cs="Arial"/>
          <w:lang w:val="es-MX"/>
        </w:rPr>
      </w:pPr>
      <w:r w:rsidRPr="00B55521">
        <w:rPr>
          <w:rFonts w:ascii="Arial" w:hAnsi="Arial" w:cs="Arial"/>
          <w:lang w:val="es-MX"/>
        </w:rPr>
        <w:lastRenderedPageBreak/>
        <w:t>Estudios previos han demostrado que el ejercicio físico supervisado durante el tratamiento puede prevenir el deterioro funcional y mejorar la calidad de vida, pero no se ha determinado si estas mejoras están relacionadas con desenlaces clínicos como la recaída. Identificar esta posible asociación podría aportar evidencia para considerar el estado funcional como un criterio complementario en la vigilancia clínica de pacientes con LLA.</w:t>
      </w:r>
    </w:p>
    <w:p w14:paraId="0BA4D4AB" w14:textId="7001A60F" w:rsidR="00B55521" w:rsidRPr="00B55521" w:rsidRDefault="00B55521" w:rsidP="00D9312C">
      <w:pPr>
        <w:spacing w:line="360" w:lineRule="auto"/>
        <w:jc w:val="both"/>
        <w:rPr>
          <w:rFonts w:ascii="Arial" w:hAnsi="Arial" w:cs="Arial"/>
          <w:lang w:val="es-MX"/>
        </w:rPr>
      </w:pPr>
      <w:r w:rsidRPr="00B55521">
        <w:rPr>
          <w:rFonts w:ascii="Arial" w:hAnsi="Arial" w:cs="Arial"/>
          <w:lang w:val="es-MX"/>
        </w:rPr>
        <w:t xml:space="preserve">Este estudio utilizará una base de datos previamente recopilada durante una intervención con ejercicio supervisado en pacientes hospitalizados con LLA. Esto permite un análisis retrospectivo sin necesidad de realizar nuevas intervenciones o reclutamientos, facilitando su viabilidad metodológica y su aplicabilidad en el contexto de un trabajo de tesis de maestría. Además, los resultados podrían tener implicaciones clínicas relevantes al proponer el </w:t>
      </w:r>
      <w:r w:rsidR="00220CF9">
        <w:rPr>
          <w:rFonts w:ascii="Arial" w:hAnsi="Arial" w:cs="Arial"/>
          <w:lang w:val="es-MX"/>
        </w:rPr>
        <w:t>desempeño</w:t>
      </w:r>
      <w:r w:rsidRPr="00B55521">
        <w:rPr>
          <w:rFonts w:ascii="Arial" w:hAnsi="Arial" w:cs="Arial"/>
          <w:lang w:val="es-MX"/>
        </w:rPr>
        <w:t xml:space="preserve"> físico como un indicador temprano de riesgo, útil en contextos hospitalarios y de seguimiento ambulatorio.</w:t>
      </w:r>
    </w:p>
    <w:p w14:paraId="2F512B31" w14:textId="198891C3" w:rsidR="00E74394" w:rsidRPr="00B55521" w:rsidRDefault="00E74394" w:rsidP="00D9312C">
      <w:pPr>
        <w:spacing w:line="360" w:lineRule="auto"/>
        <w:jc w:val="both"/>
        <w:rPr>
          <w:rFonts w:ascii="Arial" w:hAnsi="Arial" w:cs="Arial"/>
          <w:b/>
          <w:bCs/>
          <w:lang w:val="es-MX"/>
        </w:rPr>
      </w:pPr>
      <w:r w:rsidRPr="00B55521">
        <w:rPr>
          <w:rFonts w:ascii="Arial" w:hAnsi="Arial" w:cs="Arial"/>
          <w:b/>
          <w:bCs/>
          <w:lang w:val="es-MX"/>
        </w:rPr>
        <w:t>Objetivos</w:t>
      </w:r>
    </w:p>
    <w:p w14:paraId="4DDCCB25" w14:textId="15F0B95F" w:rsidR="00146470" w:rsidRPr="00B55521" w:rsidRDefault="00146470" w:rsidP="00D9312C">
      <w:pPr>
        <w:spacing w:line="360" w:lineRule="auto"/>
        <w:jc w:val="both"/>
        <w:rPr>
          <w:rFonts w:ascii="Arial" w:hAnsi="Arial" w:cs="Arial"/>
          <w:b/>
          <w:bCs/>
          <w:lang w:val="es-MX"/>
        </w:rPr>
      </w:pPr>
      <w:r w:rsidRPr="00B55521">
        <w:rPr>
          <w:rFonts w:ascii="Arial" w:hAnsi="Arial" w:cs="Arial"/>
          <w:b/>
          <w:bCs/>
          <w:lang w:val="es-MX"/>
        </w:rPr>
        <w:tab/>
        <w:t>Objetivo general</w:t>
      </w:r>
    </w:p>
    <w:p w14:paraId="394F9F80" w14:textId="061DAB46" w:rsidR="00157433" w:rsidRPr="00B55521" w:rsidRDefault="00DB776E" w:rsidP="00D9312C">
      <w:pPr>
        <w:spacing w:line="360" w:lineRule="auto"/>
        <w:jc w:val="both"/>
        <w:rPr>
          <w:rFonts w:ascii="Arial" w:hAnsi="Arial" w:cs="Arial"/>
          <w:lang w:val="es-MX"/>
        </w:rPr>
      </w:pPr>
      <w:r w:rsidRPr="00B55521">
        <w:rPr>
          <w:rFonts w:ascii="Arial" w:hAnsi="Arial" w:cs="Arial"/>
          <w:lang w:val="es-MX"/>
        </w:rPr>
        <w:t xml:space="preserve">Evaluar la correlación entre el nivel de </w:t>
      </w:r>
      <w:r w:rsidR="00220CF9">
        <w:rPr>
          <w:rFonts w:ascii="Arial" w:hAnsi="Arial" w:cs="Arial"/>
          <w:lang w:val="es-MX"/>
        </w:rPr>
        <w:t>desempeño</w:t>
      </w:r>
      <w:r w:rsidRPr="00B55521">
        <w:rPr>
          <w:rFonts w:ascii="Arial" w:hAnsi="Arial" w:cs="Arial"/>
          <w:lang w:val="es-MX"/>
        </w:rPr>
        <w:t xml:space="preserve"> físico al finalizar una intervención con ejercicio estructurado y la recaída clínica en pacientes con leucemia linfoblástica aguda.</w:t>
      </w:r>
    </w:p>
    <w:p w14:paraId="1B8DAF24" w14:textId="62FEBDED" w:rsidR="00F45160" w:rsidRPr="0094257D" w:rsidRDefault="00F45160" w:rsidP="00D9312C">
      <w:pPr>
        <w:spacing w:line="360" w:lineRule="auto"/>
        <w:jc w:val="both"/>
        <w:rPr>
          <w:rFonts w:ascii="Arial" w:hAnsi="Arial" w:cs="Arial"/>
          <w:b/>
          <w:bCs/>
          <w:lang w:val="es-MX"/>
        </w:rPr>
      </w:pPr>
      <w:r w:rsidRPr="00B55521">
        <w:rPr>
          <w:rFonts w:ascii="Arial" w:hAnsi="Arial" w:cs="Arial"/>
          <w:b/>
          <w:bCs/>
          <w:lang w:val="es-MX"/>
        </w:rPr>
        <w:t>Objetivos específicos</w:t>
      </w:r>
    </w:p>
    <w:p w14:paraId="575FCC31" w14:textId="44026D99" w:rsidR="00DB776E" w:rsidRPr="00DB776E" w:rsidRDefault="00DB776E" w:rsidP="00DB776E">
      <w:pPr>
        <w:pStyle w:val="ListParagraph"/>
        <w:numPr>
          <w:ilvl w:val="0"/>
          <w:numId w:val="2"/>
        </w:numPr>
        <w:spacing w:line="360" w:lineRule="auto"/>
        <w:jc w:val="both"/>
        <w:rPr>
          <w:rFonts w:ascii="Arial" w:hAnsi="Arial" w:cs="Arial"/>
          <w:lang w:val="es-MX"/>
        </w:rPr>
      </w:pPr>
      <w:r w:rsidRPr="00DB776E">
        <w:rPr>
          <w:rFonts w:ascii="Arial" w:hAnsi="Arial" w:cs="Arial"/>
          <w:lang w:val="es-MX"/>
        </w:rPr>
        <w:t>Describir el desempeño físico al final del programa de ejercicio en la población estudiada</w:t>
      </w:r>
      <w:r w:rsidR="00D86132">
        <w:rPr>
          <w:rFonts w:ascii="Arial" w:hAnsi="Arial" w:cs="Arial"/>
          <w:lang w:val="es-MX"/>
        </w:rPr>
        <w:t xml:space="preserve"> a través de estadísticos descriptivos y medidas de tendencia central</w:t>
      </w:r>
      <w:r w:rsidRPr="00DB776E">
        <w:rPr>
          <w:rFonts w:ascii="Arial" w:hAnsi="Arial" w:cs="Arial"/>
          <w:lang w:val="es-MX"/>
        </w:rPr>
        <w:t>.</w:t>
      </w:r>
    </w:p>
    <w:p w14:paraId="7B4BFEF3" w14:textId="300F28E2" w:rsidR="00DB776E" w:rsidRPr="00D86132" w:rsidRDefault="00DB776E" w:rsidP="00D86132">
      <w:pPr>
        <w:pStyle w:val="ListParagraph"/>
        <w:numPr>
          <w:ilvl w:val="0"/>
          <w:numId w:val="2"/>
        </w:numPr>
        <w:spacing w:line="360" w:lineRule="auto"/>
        <w:jc w:val="both"/>
        <w:rPr>
          <w:rFonts w:ascii="Arial" w:hAnsi="Arial" w:cs="Arial"/>
          <w:lang w:val="es-MX"/>
        </w:rPr>
      </w:pPr>
      <w:r w:rsidRPr="00DB776E">
        <w:rPr>
          <w:rFonts w:ascii="Arial" w:hAnsi="Arial" w:cs="Arial"/>
          <w:lang w:val="es-MX"/>
        </w:rPr>
        <w:t xml:space="preserve">Comparar los niveles de </w:t>
      </w:r>
      <w:r w:rsidR="00220CF9">
        <w:rPr>
          <w:rFonts w:ascii="Arial" w:hAnsi="Arial" w:cs="Arial"/>
          <w:lang w:val="es-MX"/>
        </w:rPr>
        <w:t>desempeño</w:t>
      </w:r>
      <w:r w:rsidRPr="00DB776E">
        <w:rPr>
          <w:rFonts w:ascii="Arial" w:hAnsi="Arial" w:cs="Arial"/>
          <w:lang w:val="es-MX"/>
        </w:rPr>
        <w:t xml:space="preserve"> físico entre pacientes que presentaron recaída y quienes no</w:t>
      </w:r>
      <w:r w:rsidR="00D86132">
        <w:rPr>
          <w:rFonts w:ascii="Arial" w:hAnsi="Arial" w:cs="Arial"/>
          <w:lang w:val="es-MX"/>
        </w:rPr>
        <w:t xml:space="preserve"> a través de un análisis de ANOVA</w:t>
      </w:r>
      <w:r w:rsidRPr="00D86132">
        <w:rPr>
          <w:rFonts w:ascii="Arial" w:hAnsi="Arial" w:cs="Arial"/>
          <w:lang w:val="es-MX"/>
        </w:rPr>
        <w:t>.</w:t>
      </w:r>
    </w:p>
    <w:p w14:paraId="111AD940" w14:textId="2B01BD6B" w:rsidR="00E4594D" w:rsidRPr="00624E09" w:rsidRDefault="00DB776E" w:rsidP="00DB776E">
      <w:pPr>
        <w:pStyle w:val="ListParagraph"/>
        <w:numPr>
          <w:ilvl w:val="0"/>
          <w:numId w:val="2"/>
        </w:numPr>
        <w:spacing w:line="360" w:lineRule="auto"/>
        <w:jc w:val="both"/>
        <w:rPr>
          <w:rFonts w:ascii="Arial" w:hAnsi="Arial" w:cs="Arial"/>
          <w:lang w:val="es-MX"/>
        </w:rPr>
      </w:pPr>
      <w:r w:rsidRPr="00DB776E">
        <w:rPr>
          <w:rFonts w:ascii="Arial" w:hAnsi="Arial" w:cs="Arial"/>
          <w:lang w:val="es-MX"/>
        </w:rPr>
        <w:t xml:space="preserve">Determinar si el nivel de </w:t>
      </w:r>
      <w:r w:rsidR="00220CF9">
        <w:rPr>
          <w:rFonts w:ascii="Arial" w:hAnsi="Arial" w:cs="Arial"/>
          <w:lang w:val="es-MX"/>
        </w:rPr>
        <w:t>desempeño</w:t>
      </w:r>
      <w:r w:rsidRPr="00DB776E">
        <w:rPr>
          <w:rFonts w:ascii="Arial" w:hAnsi="Arial" w:cs="Arial"/>
          <w:lang w:val="es-MX"/>
        </w:rPr>
        <w:t xml:space="preserve"> físico se </w:t>
      </w:r>
      <w:r w:rsidR="00D07A9F">
        <w:rPr>
          <w:rFonts w:ascii="Arial" w:hAnsi="Arial" w:cs="Arial"/>
          <w:lang w:val="es-MX"/>
        </w:rPr>
        <w:t>correlaciona</w:t>
      </w:r>
      <w:r w:rsidRPr="00DB776E">
        <w:rPr>
          <w:rFonts w:ascii="Arial" w:hAnsi="Arial" w:cs="Arial"/>
          <w:lang w:val="es-MX"/>
        </w:rPr>
        <w:t xml:space="preserve"> con el riesgo de </w:t>
      </w:r>
      <w:r w:rsidRPr="00624E09">
        <w:rPr>
          <w:rFonts w:ascii="Arial" w:hAnsi="Arial" w:cs="Arial"/>
          <w:lang w:val="es-MX"/>
        </w:rPr>
        <w:t>recaída mediante</w:t>
      </w:r>
      <w:r w:rsidR="00D86132">
        <w:rPr>
          <w:rFonts w:ascii="Arial" w:hAnsi="Arial" w:cs="Arial"/>
          <w:lang w:val="es-MX"/>
        </w:rPr>
        <w:t xml:space="preserve"> una prueba de Chi</w:t>
      </w:r>
      <w:r w:rsidR="00D86132" w:rsidRPr="00D86132">
        <w:rPr>
          <w:rFonts w:ascii="Arial" w:hAnsi="Arial" w:cs="Arial"/>
          <w:vertAlign w:val="superscript"/>
          <w:lang w:val="es-MX"/>
        </w:rPr>
        <w:t>2</w:t>
      </w:r>
      <w:r w:rsidRPr="00624E09">
        <w:rPr>
          <w:rFonts w:ascii="Arial" w:hAnsi="Arial" w:cs="Arial"/>
          <w:lang w:val="es-MX"/>
        </w:rPr>
        <w:t xml:space="preserve"> </w:t>
      </w:r>
      <w:r w:rsidR="00D86132">
        <w:rPr>
          <w:rFonts w:ascii="Arial" w:hAnsi="Arial" w:cs="Arial"/>
          <w:lang w:val="es-MX"/>
        </w:rPr>
        <w:t>y un modelo</w:t>
      </w:r>
      <w:r w:rsidRPr="00624E09">
        <w:rPr>
          <w:rFonts w:ascii="Arial" w:hAnsi="Arial" w:cs="Arial"/>
          <w:lang w:val="es-MX"/>
        </w:rPr>
        <w:t xml:space="preserve"> de regresión logística.</w:t>
      </w:r>
    </w:p>
    <w:bookmarkEnd w:id="0"/>
    <w:p w14:paraId="36EF5C9C" w14:textId="5B606656" w:rsidR="00E74394" w:rsidRPr="0094257D" w:rsidRDefault="00E74394" w:rsidP="00D9312C">
      <w:pPr>
        <w:spacing w:line="360" w:lineRule="auto"/>
        <w:jc w:val="both"/>
        <w:rPr>
          <w:rFonts w:ascii="Arial" w:hAnsi="Arial" w:cs="Arial"/>
          <w:b/>
          <w:bCs/>
          <w:lang w:val="es-MX"/>
        </w:rPr>
      </w:pPr>
      <w:r w:rsidRPr="00624E09">
        <w:rPr>
          <w:rFonts w:ascii="Arial" w:hAnsi="Arial" w:cs="Arial"/>
          <w:b/>
          <w:bCs/>
          <w:lang w:val="es-MX"/>
        </w:rPr>
        <w:t>Metodología</w:t>
      </w:r>
    </w:p>
    <w:p w14:paraId="4D77E822" w14:textId="6A7E4344" w:rsidR="00E74394" w:rsidRDefault="00E74394" w:rsidP="00D9312C">
      <w:pPr>
        <w:spacing w:line="360" w:lineRule="auto"/>
        <w:jc w:val="both"/>
        <w:rPr>
          <w:rFonts w:ascii="Arial" w:hAnsi="Arial" w:cs="Arial"/>
          <w:b/>
          <w:bCs/>
          <w:lang w:val="es-MX"/>
        </w:rPr>
      </w:pPr>
      <w:r w:rsidRPr="0094257D">
        <w:rPr>
          <w:rFonts w:ascii="Arial" w:hAnsi="Arial" w:cs="Arial"/>
          <w:b/>
          <w:bCs/>
          <w:lang w:val="es-MX"/>
        </w:rPr>
        <w:tab/>
        <w:t>Diseño del estudio</w:t>
      </w:r>
    </w:p>
    <w:p w14:paraId="678EC11C" w14:textId="1B16E19E" w:rsidR="00E64E23" w:rsidRDefault="00E64E23" w:rsidP="00D9312C">
      <w:pPr>
        <w:spacing w:line="360" w:lineRule="auto"/>
        <w:jc w:val="both"/>
        <w:rPr>
          <w:rFonts w:ascii="Arial" w:hAnsi="Arial" w:cs="Arial"/>
          <w:lang w:val="es-MX"/>
        </w:rPr>
      </w:pPr>
      <w:r w:rsidRPr="00E64E23">
        <w:rPr>
          <w:rFonts w:ascii="Arial" w:hAnsi="Arial" w:cs="Arial"/>
          <w:lang w:val="es-MX"/>
        </w:rPr>
        <w:t xml:space="preserve">Se llevará a cabo un estudio </w:t>
      </w:r>
      <w:r w:rsidR="00B734CC">
        <w:rPr>
          <w:rFonts w:ascii="Arial" w:hAnsi="Arial" w:cs="Arial"/>
          <w:lang w:val="es-MX"/>
        </w:rPr>
        <w:t xml:space="preserve">de cohorte </w:t>
      </w:r>
      <w:r w:rsidRPr="00E64E23">
        <w:rPr>
          <w:rFonts w:ascii="Arial" w:hAnsi="Arial" w:cs="Arial"/>
          <w:lang w:val="es-MX"/>
        </w:rPr>
        <w:t xml:space="preserve">observacional, retrospectivo y analítico, basado en el análisis secundario de una base de datos previamente recolectada durante un </w:t>
      </w:r>
      <w:r w:rsidRPr="00E64E23">
        <w:rPr>
          <w:rFonts w:ascii="Arial" w:hAnsi="Arial" w:cs="Arial"/>
          <w:lang w:val="es-MX"/>
        </w:rPr>
        <w:lastRenderedPageBreak/>
        <w:t>protocolo de intervención con ejercicio físico supervisado en pacientes adultos jóvenes hospitalizados con diagnóstico confirmado de leucemia linfoblástica aguda (LLA).</w:t>
      </w:r>
    </w:p>
    <w:p w14:paraId="783A6CD1" w14:textId="4098B3C5" w:rsidR="00E64E23" w:rsidRDefault="00E64E23" w:rsidP="00D9312C">
      <w:pPr>
        <w:spacing w:line="360" w:lineRule="auto"/>
        <w:jc w:val="both"/>
        <w:rPr>
          <w:rFonts w:ascii="Arial" w:hAnsi="Arial" w:cs="Arial"/>
          <w:lang w:val="es-MX"/>
        </w:rPr>
      </w:pPr>
      <w:r w:rsidRPr="00E64E23">
        <w:rPr>
          <w:rFonts w:ascii="Arial" w:hAnsi="Arial" w:cs="Arial"/>
          <w:lang w:val="es-MX"/>
        </w:rPr>
        <w:t>La base de datos incluye información demográfica, clínica y funcional de los pacientes, así como el tipo de intervención recibida, el seguimiento clínico posterior y el registro de eventos adversos, incluyendo la recaída. Dado que no se realizará ninguna intervención directa ni recolección de datos nuevos, el estudio se clasifica como no experimental, de corte retrospectivo.</w:t>
      </w:r>
    </w:p>
    <w:p w14:paraId="4B0FBA99" w14:textId="180A821A" w:rsidR="00E64E23" w:rsidRPr="00E64E23" w:rsidRDefault="00E64E23" w:rsidP="00D9312C">
      <w:pPr>
        <w:spacing w:line="360" w:lineRule="auto"/>
        <w:jc w:val="both"/>
        <w:rPr>
          <w:rFonts w:ascii="Arial" w:hAnsi="Arial" w:cs="Arial"/>
          <w:b/>
          <w:bCs/>
          <w:lang w:val="es-MX"/>
        </w:rPr>
      </w:pPr>
      <w:r w:rsidRPr="00E64E23">
        <w:rPr>
          <w:rFonts w:ascii="Arial" w:hAnsi="Arial" w:cs="Arial"/>
          <w:b/>
          <w:bCs/>
          <w:lang w:val="es-MX"/>
        </w:rPr>
        <w:t>Determinación de grupos de estudio</w:t>
      </w:r>
    </w:p>
    <w:p w14:paraId="597A0B15" w14:textId="71C20E2D" w:rsidR="00E64E23" w:rsidRPr="00E64E23" w:rsidRDefault="00E64E23" w:rsidP="00D9312C">
      <w:pPr>
        <w:spacing w:line="360" w:lineRule="auto"/>
        <w:jc w:val="both"/>
        <w:rPr>
          <w:rFonts w:ascii="Arial" w:hAnsi="Arial" w:cs="Arial"/>
          <w:lang w:val="es-MX"/>
        </w:rPr>
      </w:pPr>
      <w:r w:rsidRPr="00E64E23">
        <w:rPr>
          <w:rFonts w:ascii="Arial" w:hAnsi="Arial" w:cs="Arial"/>
          <w:lang w:val="es-MX"/>
        </w:rPr>
        <w:t>La base de datos incluye información de pacientes que participaron en un protocolo previo donde fueron asignados a uno de tres grupos de intervención (ejercicio de resistencia, aeróbico o combinado). La asignación fue determinada según disponibilidad y criterios clínicos establecidos por el equipo tratante.</w:t>
      </w:r>
      <w:r w:rsidR="00D519E9">
        <w:rPr>
          <w:rFonts w:ascii="Arial" w:hAnsi="Arial" w:cs="Arial"/>
          <w:lang w:val="es-MX"/>
        </w:rPr>
        <w:t xml:space="preserve"> Los pacientes incluidos en los tres grupos recibieron </w:t>
      </w:r>
      <w:r w:rsidR="00D519E9" w:rsidRPr="00B50029">
        <w:rPr>
          <w:rFonts w:ascii="Arial" w:hAnsi="Arial" w:cs="Arial"/>
          <w:lang w:val="es-MX"/>
        </w:rPr>
        <w:t xml:space="preserve">el tratamiento farmacológico estándar para </w:t>
      </w:r>
      <w:r w:rsidR="00D519E9">
        <w:rPr>
          <w:rFonts w:ascii="Arial" w:hAnsi="Arial" w:cs="Arial"/>
          <w:lang w:val="es-MX"/>
        </w:rPr>
        <w:t>pacientes</w:t>
      </w:r>
      <w:r w:rsidR="00D519E9" w:rsidRPr="00B50029">
        <w:rPr>
          <w:rFonts w:ascii="Arial" w:hAnsi="Arial" w:cs="Arial"/>
          <w:lang w:val="es-MX"/>
        </w:rPr>
        <w:t xml:space="preserve"> con LLA basado en 3 ciclos de quimioterapia (21 días de duración por ciclo</w:t>
      </w:r>
      <w:proofErr w:type="gramStart"/>
      <w:r w:rsidR="00D519E9" w:rsidRPr="00B50029">
        <w:rPr>
          <w:rFonts w:ascii="Arial" w:hAnsi="Arial" w:cs="Arial"/>
          <w:lang w:val="es-MX"/>
        </w:rPr>
        <w:t>)</w:t>
      </w:r>
      <w:r w:rsidR="00D519E9">
        <w:rPr>
          <w:rFonts w:ascii="Arial" w:hAnsi="Arial" w:cs="Arial"/>
          <w:lang w:val="es-MX"/>
        </w:rPr>
        <w:t>.Para</w:t>
      </w:r>
      <w:proofErr w:type="gramEnd"/>
      <w:r w:rsidR="00D519E9">
        <w:rPr>
          <w:rFonts w:ascii="Arial" w:hAnsi="Arial" w:cs="Arial"/>
          <w:lang w:val="es-MX"/>
        </w:rPr>
        <w:t xml:space="preserve"> los grupos que realizaron rutinas de ejercicio, estas fueron realizadas </w:t>
      </w:r>
      <w:r w:rsidR="00D519E9" w:rsidRPr="00D519E9">
        <w:rPr>
          <w:rFonts w:ascii="Arial" w:hAnsi="Arial" w:cs="Arial"/>
          <w:lang w:val="es-MX"/>
        </w:rPr>
        <w:t>dentro de las instalaciones del hospital en días y horarios específicos, bajo la supervisión de un entrenador capacitado y personal de salud encargado de cada paciente. Cada rutina de entrenamiento tuvo una progresión mensual de ejercicio controlada a partir de la intensidad, frecuencia y/o duración de la rutina.</w:t>
      </w:r>
      <w:r w:rsidR="00D519E9">
        <w:rPr>
          <w:rFonts w:ascii="Arial" w:hAnsi="Arial" w:cs="Arial"/>
          <w:lang w:val="es-MX"/>
        </w:rPr>
        <w:t xml:space="preserve">  Las diferencias entre los grupos se ubicaron en las rutinas de ejercicio al que fueron expuestos:</w:t>
      </w:r>
    </w:p>
    <w:p w14:paraId="532815F7" w14:textId="38BB9D90" w:rsidR="00FE4BFC" w:rsidRDefault="00FE4BFC" w:rsidP="00D9312C">
      <w:pPr>
        <w:pStyle w:val="ListParagraph"/>
        <w:numPr>
          <w:ilvl w:val="0"/>
          <w:numId w:val="3"/>
        </w:numPr>
        <w:spacing w:line="360" w:lineRule="auto"/>
        <w:jc w:val="both"/>
        <w:rPr>
          <w:rFonts w:ascii="Arial" w:hAnsi="Arial" w:cs="Arial"/>
          <w:lang w:val="es-MX"/>
        </w:rPr>
      </w:pPr>
      <w:r w:rsidRPr="0021098F">
        <w:rPr>
          <w:rFonts w:ascii="Arial" w:hAnsi="Arial" w:cs="Arial"/>
          <w:b/>
          <w:bCs/>
          <w:lang w:val="es-MX"/>
        </w:rPr>
        <w:t xml:space="preserve">Grupo </w:t>
      </w:r>
      <w:r>
        <w:rPr>
          <w:rFonts w:ascii="Arial" w:hAnsi="Arial" w:cs="Arial"/>
          <w:b/>
          <w:bCs/>
          <w:lang w:val="es-MX"/>
        </w:rPr>
        <w:t>control (GC)</w:t>
      </w:r>
      <w:r w:rsidRPr="0021098F">
        <w:rPr>
          <w:rFonts w:ascii="Arial" w:hAnsi="Arial" w:cs="Arial"/>
          <w:lang w:val="es-MX"/>
        </w:rPr>
        <w:t xml:space="preserve"> </w:t>
      </w:r>
    </w:p>
    <w:p w14:paraId="3155ED67" w14:textId="009F55EE" w:rsidR="00FE4BFC" w:rsidRPr="00FE4BFC" w:rsidRDefault="00B50029" w:rsidP="00D9312C">
      <w:pPr>
        <w:spacing w:line="360" w:lineRule="auto"/>
        <w:ind w:left="360"/>
        <w:jc w:val="both"/>
        <w:rPr>
          <w:rFonts w:ascii="Arial" w:hAnsi="Arial" w:cs="Arial"/>
          <w:lang w:val="es-MX"/>
        </w:rPr>
      </w:pPr>
      <w:r w:rsidRPr="00B50029">
        <w:rPr>
          <w:rFonts w:ascii="Arial" w:hAnsi="Arial" w:cs="Arial"/>
          <w:lang w:val="es-MX"/>
        </w:rPr>
        <w:t>Cada paciente recibi</w:t>
      </w:r>
      <w:r>
        <w:rPr>
          <w:rFonts w:ascii="Arial" w:hAnsi="Arial" w:cs="Arial"/>
          <w:lang w:val="es-MX"/>
        </w:rPr>
        <w:t>ó</w:t>
      </w:r>
      <w:r w:rsidRPr="00B50029">
        <w:rPr>
          <w:rFonts w:ascii="Arial" w:hAnsi="Arial" w:cs="Arial"/>
          <w:lang w:val="es-MX"/>
        </w:rPr>
        <w:t xml:space="preserve"> más la recomendación de la OMS que indica al menos 150 min a la semana de actividad física moderada, equivalente a caminar 30 minutos al día durante 5 días a una intensidad entre el 60 y </w:t>
      </w:r>
      <w:r w:rsidR="00D519E9">
        <w:rPr>
          <w:rFonts w:ascii="Arial" w:hAnsi="Arial" w:cs="Arial"/>
          <w:lang w:val="es-MX"/>
        </w:rPr>
        <w:t>el 70% de su frecuencia cardíaca</w:t>
      </w:r>
      <w:r w:rsidRPr="00B50029">
        <w:rPr>
          <w:rFonts w:ascii="Arial" w:hAnsi="Arial" w:cs="Arial"/>
          <w:lang w:val="es-MX"/>
        </w:rPr>
        <w:t xml:space="preserve"> máxima.</w:t>
      </w:r>
    </w:p>
    <w:p w14:paraId="7B242235" w14:textId="0030B32E" w:rsidR="0094257D" w:rsidRPr="00FE4BFC" w:rsidRDefault="0094257D" w:rsidP="00D9312C">
      <w:pPr>
        <w:pStyle w:val="ListParagraph"/>
        <w:numPr>
          <w:ilvl w:val="0"/>
          <w:numId w:val="3"/>
        </w:numPr>
        <w:spacing w:line="360" w:lineRule="auto"/>
        <w:jc w:val="both"/>
        <w:rPr>
          <w:rFonts w:ascii="Arial" w:hAnsi="Arial" w:cs="Arial"/>
          <w:lang w:val="es-ES"/>
        </w:rPr>
      </w:pPr>
      <w:r w:rsidRPr="00FE4BFC">
        <w:rPr>
          <w:rFonts w:ascii="Arial" w:hAnsi="Arial" w:cs="Arial"/>
          <w:b/>
          <w:bCs/>
          <w:lang w:val="es-ES"/>
        </w:rPr>
        <w:t xml:space="preserve">Grupo </w:t>
      </w:r>
      <w:r w:rsidR="00B50029">
        <w:rPr>
          <w:rFonts w:ascii="Arial" w:hAnsi="Arial" w:cs="Arial"/>
          <w:b/>
          <w:bCs/>
          <w:lang w:val="es-ES"/>
        </w:rPr>
        <w:t>de ejercicio de resistencia</w:t>
      </w:r>
      <w:r w:rsidR="00FE4BFC">
        <w:rPr>
          <w:rFonts w:ascii="Arial" w:hAnsi="Arial" w:cs="Arial"/>
          <w:b/>
          <w:bCs/>
          <w:lang w:val="es-ES"/>
        </w:rPr>
        <w:t xml:space="preserve"> (</w:t>
      </w:r>
      <w:r w:rsidR="000C1A3D">
        <w:rPr>
          <w:rFonts w:ascii="Arial" w:hAnsi="Arial" w:cs="Arial"/>
          <w:b/>
          <w:bCs/>
          <w:lang w:val="es-ES"/>
        </w:rPr>
        <w:t>G</w:t>
      </w:r>
      <w:r w:rsidR="00D519E9">
        <w:rPr>
          <w:rFonts w:ascii="Arial" w:hAnsi="Arial" w:cs="Arial"/>
          <w:b/>
          <w:bCs/>
          <w:lang w:val="es-ES"/>
        </w:rPr>
        <w:t>E</w:t>
      </w:r>
      <w:r w:rsidR="00B50029">
        <w:rPr>
          <w:rFonts w:ascii="Arial" w:hAnsi="Arial" w:cs="Arial"/>
          <w:b/>
          <w:bCs/>
          <w:lang w:val="es-ES"/>
        </w:rPr>
        <w:t>R</w:t>
      </w:r>
      <w:r w:rsidR="000C1A3D">
        <w:rPr>
          <w:rFonts w:ascii="Arial" w:hAnsi="Arial" w:cs="Arial"/>
          <w:b/>
          <w:bCs/>
          <w:lang w:val="es-ES"/>
        </w:rPr>
        <w:t>)</w:t>
      </w:r>
      <w:r w:rsidRPr="00FE4BFC">
        <w:rPr>
          <w:rFonts w:ascii="Arial" w:hAnsi="Arial" w:cs="Arial"/>
          <w:lang w:val="es-ES"/>
        </w:rPr>
        <w:t xml:space="preserve"> </w:t>
      </w:r>
    </w:p>
    <w:p w14:paraId="1F26D6F6" w14:textId="77777777" w:rsidR="00D519E9" w:rsidRDefault="0021098F" w:rsidP="00D519E9">
      <w:pPr>
        <w:spacing w:line="360" w:lineRule="auto"/>
        <w:ind w:left="360"/>
        <w:jc w:val="both"/>
        <w:rPr>
          <w:rFonts w:ascii="Arial" w:hAnsi="Arial" w:cs="Arial"/>
          <w:lang w:val="es-MX"/>
        </w:rPr>
      </w:pPr>
      <w:r w:rsidRPr="00FE4BFC">
        <w:rPr>
          <w:rFonts w:ascii="Arial" w:hAnsi="Arial" w:cs="Arial"/>
          <w:lang w:val="es-MX"/>
        </w:rPr>
        <w:t xml:space="preserve">Esta rutina </w:t>
      </w:r>
      <w:r w:rsidR="00B50029">
        <w:rPr>
          <w:rFonts w:ascii="Arial" w:hAnsi="Arial" w:cs="Arial"/>
          <w:lang w:val="es-MX"/>
        </w:rPr>
        <w:t>fue</w:t>
      </w:r>
      <w:r w:rsidRPr="00FE4BFC">
        <w:rPr>
          <w:rFonts w:ascii="Arial" w:hAnsi="Arial" w:cs="Arial"/>
          <w:lang w:val="es-MX"/>
        </w:rPr>
        <w:t xml:space="preserve"> individualizada y adaptada para cada paciente, en donde se utilizar</w:t>
      </w:r>
      <w:r w:rsidR="00B50029">
        <w:rPr>
          <w:rFonts w:ascii="Arial" w:hAnsi="Arial" w:cs="Arial"/>
          <w:lang w:val="es-MX"/>
        </w:rPr>
        <w:t>o</w:t>
      </w:r>
      <w:r w:rsidRPr="00FE4BFC">
        <w:rPr>
          <w:rFonts w:ascii="Arial" w:hAnsi="Arial" w:cs="Arial"/>
          <w:lang w:val="es-MX"/>
        </w:rPr>
        <w:t xml:space="preserve">n implementos de peso extra para fortalecer grupos musculares principales. </w:t>
      </w:r>
    </w:p>
    <w:p w14:paraId="1C4BD129" w14:textId="20D6112D" w:rsidR="00B50029" w:rsidRPr="00D519E9" w:rsidRDefault="00B50029" w:rsidP="00D519E9">
      <w:pPr>
        <w:pStyle w:val="ListParagraph"/>
        <w:numPr>
          <w:ilvl w:val="0"/>
          <w:numId w:val="3"/>
        </w:numPr>
        <w:spacing w:line="360" w:lineRule="auto"/>
        <w:jc w:val="both"/>
        <w:rPr>
          <w:rFonts w:ascii="Arial" w:hAnsi="Arial" w:cs="Arial"/>
          <w:lang w:val="es-MX"/>
        </w:rPr>
      </w:pPr>
      <w:r w:rsidRPr="00D519E9">
        <w:rPr>
          <w:rFonts w:ascii="Arial" w:hAnsi="Arial" w:cs="Arial"/>
          <w:b/>
          <w:bCs/>
          <w:lang w:val="es-MX"/>
        </w:rPr>
        <w:lastRenderedPageBreak/>
        <w:t>Grupo de ejercicio cruzado (GEC)</w:t>
      </w:r>
    </w:p>
    <w:p w14:paraId="4A501ED4" w14:textId="1D8DE95D" w:rsidR="00B50029" w:rsidRPr="00986490" w:rsidRDefault="00D519E9" w:rsidP="00986490">
      <w:pPr>
        <w:spacing w:line="360" w:lineRule="auto"/>
        <w:ind w:left="360"/>
        <w:jc w:val="both"/>
        <w:rPr>
          <w:rFonts w:ascii="Arial" w:hAnsi="Arial" w:cs="Arial"/>
          <w:sz w:val="28"/>
          <w:lang w:val="es-MX"/>
        </w:rPr>
      </w:pPr>
      <w:r>
        <w:rPr>
          <w:rFonts w:ascii="Arial" w:hAnsi="Arial" w:cs="Arial"/>
          <w:lang w:val="es-MX"/>
        </w:rPr>
        <w:t>R</w:t>
      </w:r>
      <w:r w:rsidR="00B50029" w:rsidRPr="00B50029">
        <w:rPr>
          <w:rFonts w:ascii="Arial" w:hAnsi="Arial" w:cs="Arial"/>
          <w:lang w:val="es-MX"/>
        </w:rPr>
        <w:t>utina de ejercicios dinámicos utilizando implementos sin peso extra que permitan mejorar la estabilidad, la movilidad articular y la fortaleza generalizada del cuerpo.</w:t>
      </w:r>
    </w:p>
    <w:p w14:paraId="18ECF921" w14:textId="38CEA361" w:rsidR="0094257D" w:rsidRDefault="005B7136" w:rsidP="00E64E23">
      <w:pPr>
        <w:spacing w:after="0" w:line="360" w:lineRule="auto"/>
        <w:jc w:val="both"/>
        <w:rPr>
          <w:rFonts w:ascii="Arial" w:hAnsi="Arial" w:cs="Arial"/>
          <w:lang w:val="es-ES"/>
        </w:rPr>
      </w:pPr>
      <w:r w:rsidRPr="0094257D">
        <w:rPr>
          <w:rFonts w:ascii="Arial" w:hAnsi="Arial" w:cs="Arial"/>
          <w:lang w:val="es-ES"/>
        </w:rPr>
        <w:t xml:space="preserve">Los </w:t>
      </w:r>
      <w:r w:rsidR="00E64E23">
        <w:rPr>
          <w:rFonts w:ascii="Arial" w:hAnsi="Arial" w:cs="Arial"/>
          <w:lang w:val="es-ES"/>
        </w:rPr>
        <w:t>pacientes reclutados fueron</w:t>
      </w:r>
      <w:r w:rsidRPr="0094257D">
        <w:rPr>
          <w:rFonts w:ascii="Arial" w:hAnsi="Arial" w:cs="Arial"/>
          <w:lang w:val="es-ES"/>
        </w:rPr>
        <w:t xml:space="preserve"> aleatoriza</w:t>
      </w:r>
      <w:r w:rsidR="00E64E23">
        <w:rPr>
          <w:rFonts w:ascii="Arial" w:hAnsi="Arial" w:cs="Arial"/>
          <w:lang w:val="es-ES"/>
        </w:rPr>
        <w:t xml:space="preserve">dos </w:t>
      </w:r>
      <w:r w:rsidRPr="0094257D">
        <w:rPr>
          <w:rFonts w:ascii="Arial" w:hAnsi="Arial" w:cs="Arial"/>
          <w:lang w:val="es-ES"/>
        </w:rPr>
        <w:t xml:space="preserve">a una proporción de 1:1 </w:t>
      </w:r>
      <w:r w:rsidR="0094257D" w:rsidRPr="0094257D">
        <w:rPr>
          <w:rFonts w:ascii="Arial" w:hAnsi="Arial" w:cs="Arial"/>
          <w:lang w:val="es-ES"/>
        </w:rPr>
        <w:t>para</w:t>
      </w:r>
      <w:r w:rsidRPr="0094257D">
        <w:rPr>
          <w:rFonts w:ascii="Arial" w:hAnsi="Arial" w:cs="Arial"/>
          <w:lang w:val="es-ES"/>
        </w:rPr>
        <w:t xml:space="preserve"> cada uno de los</w:t>
      </w:r>
      <w:r w:rsidR="0094257D" w:rsidRPr="0094257D">
        <w:rPr>
          <w:rFonts w:ascii="Arial" w:hAnsi="Arial" w:cs="Arial"/>
          <w:lang w:val="es-ES"/>
        </w:rPr>
        <w:t xml:space="preserve"> dos</w:t>
      </w:r>
      <w:r w:rsidRPr="0094257D">
        <w:rPr>
          <w:rFonts w:ascii="Arial" w:hAnsi="Arial" w:cs="Arial"/>
          <w:lang w:val="es-ES"/>
        </w:rPr>
        <w:t xml:space="preserve"> brazos de intervención física</w:t>
      </w:r>
      <w:r w:rsidR="00E64E23">
        <w:rPr>
          <w:rFonts w:ascii="Arial" w:hAnsi="Arial" w:cs="Arial"/>
          <w:lang w:val="es-ES"/>
        </w:rPr>
        <w:t xml:space="preserve"> y grupo control </w:t>
      </w:r>
      <w:r w:rsidRPr="0094257D">
        <w:rPr>
          <w:rFonts w:ascii="Arial" w:hAnsi="Arial" w:cs="Arial"/>
          <w:lang w:val="es-ES"/>
        </w:rPr>
        <w:t xml:space="preserve">por método de aleatorización simple </w:t>
      </w:r>
      <w:bookmarkStart w:id="2" w:name="_Hlk80049886"/>
      <w:r w:rsidRPr="0094257D">
        <w:rPr>
          <w:rFonts w:ascii="Arial" w:hAnsi="Arial" w:cs="Arial"/>
          <w:lang w:val="es-ES"/>
        </w:rPr>
        <w:t xml:space="preserve">mediante el programa </w:t>
      </w:r>
      <w:proofErr w:type="spellStart"/>
      <w:r w:rsidRPr="0094257D">
        <w:rPr>
          <w:rFonts w:ascii="Arial" w:hAnsi="Arial" w:cs="Arial"/>
          <w:lang w:val="es-ES"/>
        </w:rPr>
        <w:t>Epidat</w:t>
      </w:r>
      <w:proofErr w:type="spellEnd"/>
      <w:r w:rsidRPr="0094257D">
        <w:rPr>
          <w:rFonts w:ascii="Arial" w:hAnsi="Arial" w:cs="Arial"/>
          <w:lang w:val="es-ES"/>
        </w:rPr>
        <w:t>®, con la finalidad de mantener homogéneos a los dos grupos de intervención</w:t>
      </w:r>
      <w:bookmarkEnd w:id="2"/>
      <w:r w:rsidR="0094257D">
        <w:rPr>
          <w:rFonts w:ascii="Arial" w:hAnsi="Arial" w:cs="Arial"/>
          <w:lang w:val="es-ES"/>
        </w:rPr>
        <w:t>.</w:t>
      </w:r>
    </w:p>
    <w:p w14:paraId="5CC2410A" w14:textId="77777777" w:rsidR="00E64E23" w:rsidRPr="0094257D" w:rsidRDefault="00E64E23" w:rsidP="00E64E23">
      <w:pPr>
        <w:spacing w:after="0" w:line="360" w:lineRule="auto"/>
        <w:jc w:val="both"/>
        <w:rPr>
          <w:rFonts w:ascii="Arial" w:hAnsi="Arial" w:cs="Arial"/>
          <w:b/>
          <w:bCs/>
          <w:lang w:val="es-ES"/>
        </w:rPr>
      </w:pPr>
    </w:p>
    <w:p w14:paraId="52B34D28" w14:textId="132E9305" w:rsidR="00E74394" w:rsidRPr="0094257D" w:rsidRDefault="00E74394" w:rsidP="00D9312C">
      <w:pPr>
        <w:spacing w:line="360" w:lineRule="auto"/>
        <w:jc w:val="both"/>
        <w:rPr>
          <w:rFonts w:ascii="Arial" w:hAnsi="Arial" w:cs="Arial"/>
          <w:b/>
          <w:bCs/>
          <w:lang w:val="es-MX"/>
        </w:rPr>
      </w:pPr>
      <w:r w:rsidRPr="0094257D">
        <w:rPr>
          <w:rFonts w:ascii="Arial" w:hAnsi="Arial" w:cs="Arial"/>
          <w:b/>
          <w:bCs/>
          <w:lang w:val="es-MX"/>
        </w:rPr>
        <w:tab/>
        <w:t>Población de estudio</w:t>
      </w:r>
    </w:p>
    <w:p w14:paraId="1D6C75F5" w14:textId="7D9063DE" w:rsidR="00157433" w:rsidRPr="0094257D" w:rsidRDefault="0094257D" w:rsidP="00D9312C">
      <w:pPr>
        <w:spacing w:line="360" w:lineRule="auto"/>
        <w:jc w:val="both"/>
        <w:rPr>
          <w:rFonts w:ascii="Arial" w:hAnsi="Arial" w:cs="Arial"/>
          <w:bCs/>
          <w:iCs/>
          <w:lang w:val="es-ES"/>
        </w:rPr>
      </w:pPr>
      <w:r w:rsidRPr="0094257D">
        <w:rPr>
          <w:rFonts w:ascii="Arial" w:hAnsi="Arial" w:cs="Arial"/>
          <w:bCs/>
          <w:iCs/>
          <w:lang w:val="es-ES"/>
        </w:rPr>
        <w:t>Se incluir</w:t>
      </w:r>
      <w:r w:rsidR="00E64E23">
        <w:rPr>
          <w:rFonts w:ascii="Arial" w:hAnsi="Arial" w:cs="Arial"/>
          <w:bCs/>
          <w:iCs/>
          <w:lang w:val="es-ES"/>
        </w:rPr>
        <w:t>án registros clínicos de</w:t>
      </w:r>
      <w:r w:rsidRPr="0094257D">
        <w:rPr>
          <w:rFonts w:ascii="Arial" w:hAnsi="Arial" w:cs="Arial"/>
          <w:bCs/>
          <w:iCs/>
          <w:lang w:val="es-ES"/>
        </w:rPr>
        <w:t xml:space="preserve"> pacientes adultos jóvenes con diagnóstico de </w:t>
      </w:r>
      <w:proofErr w:type="spellStart"/>
      <w:r w:rsidRPr="0094257D">
        <w:rPr>
          <w:rFonts w:ascii="Arial" w:hAnsi="Arial" w:cs="Arial"/>
          <w:bCs/>
          <w:i/>
          <w:lang w:val="es-ES"/>
        </w:rPr>
        <w:t>novo</w:t>
      </w:r>
      <w:proofErr w:type="spellEnd"/>
      <w:r w:rsidRPr="0094257D">
        <w:rPr>
          <w:rFonts w:ascii="Arial" w:hAnsi="Arial" w:cs="Arial"/>
          <w:bCs/>
          <w:i/>
          <w:lang w:val="es-ES"/>
        </w:rPr>
        <w:t xml:space="preserve"> </w:t>
      </w:r>
      <w:r w:rsidRPr="0094257D">
        <w:rPr>
          <w:rFonts w:ascii="Arial" w:hAnsi="Arial" w:cs="Arial"/>
          <w:bCs/>
          <w:iCs/>
          <w:lang w:val="es-ES"/>
        </w:rPr>
        <w:t>de leucemia linfoblástica aguda de precursores B que iniciar</w:t>
      </w:r>
      <w:r w:rsidR="00B50029">
        <w:rPr>
          <w:rFonts w:ascii="Arial" w:hAnsi="Arial" w:cs="Arial"/>
          <w:bCs/>
          <w:iCs/>
          <w:lang w:val="es-ES"/>
        </w:rPr>
        <w:t>o</w:t>
      </w:r>
      <w:r w:rsidRPr="0094257D">
        <w:rPr>
          <w:rFonts w:ascii="Arial" w:hAnsi="Arial" w:cs="Arial"/>
          <w:bCs/>
          <w:iCs/>
          <w:lang w:val="es-ES"/>
        </w:rPr>
        <w:t xml:space="preserve">n con la terapia de inducción a la remisión.  </w:t>
      </w:r>
    </w:p>
    <w:p w14:paraId="6DEB7AF8" w14:textId="7D9DAF81" w:rsidR="00E74394" w:rsidRPr="0094257D" w:rsidRDefault="00E74394" w:rsidP="00D9312C">
      <w:pPr>
        <w:spacing w:line="360" w:lineRule="auto"/>
        <w:rPr>
          <w:rFonts w:ascii="Arial" w:hAnsi="Arial" w:cs="Arial"/>
          <w:b/>
          <w:bCs/>
          <w:lang w:val="es-MX"/>
        </w:rPr>
      </w:pPr>
      <w:r w:rsidRPr="0094257D">
        <w:rPr>
          <w:rFonts w:ascii="Arial" w:hAnsi="Arial" w:cs="Arial"/>
          <w:b/>
          <w:bCs/>
          <w:lang w:val="es-MX"/>
        </w:rPr>
        <w:tab/>
        <w:t>Criterios de selección</w:t>
      </w:r>
    </w:p>
    <w:p w14:paraId="540C2DB4" w14:textId="77777777" w:rsidR="00E64E23" w:rsidRDefault="0094257D" w:rsidP="00D9312C">
      <w:pPr>
        <w:spacing w:line="360" w:lineRule="auto"/>
        <w:rPr>
          <w:rFonts w:ascii="Arial" w:hAnsi="Arial" w:cs="Arial"/>
          <w:bCs/>
          <w:iCs/>
          <w:lang w:val="es-ES"/>
        </w:rPr>
      </w:pPr>
      <w:bookmarkStart w:id="3" w:name="_Toc185430700"/>
      <w:r w:rsidRPr="0094257D">
        <w:rPr>
          <w:rFonts w:ascii="Arial" w:hAnsi="Arial" w:cs="Arial"/>
          <w:bCs/>
          <w:iCs/>
          <w:lang w:val="es-ES"/>
        </w:rPr>
        <w:t>Criterios de inclusión</w:t>
      </w:r>
      <w:bookmarkEnd w:id="3"/>
      <w:r w:rsidR="00E64E23">
        <w:rPr>
          <w:rFonts w:ascii="Arial" w:hAnsi="Arial" w:cs="Arial"/>
          <w:bCs/>
          <w:iCs/>
          <w:lang w:val="es-ES"/>
        </w:rPr>
        <w:t xml:space="preserve">: </w:t>
      </w:r>
    </w:p>
    <w:p w14:paraId="373545B6" w14:textId="73252791" w:rsidR="0094257D" w:rsidRPr="0094257D" w:rsidRDefault="00E64E23" w:rsidP="00D9312C">
      <w:pPr>
        <w:spacing w:line="360" w:lineRule="auto"/>
        <w:rPr>
          <w:rFonts w:ascii="Arial" w:hAnsi="Arial" w:cs="Arial"/>
          <w:bCs/>
          <w:iCs/>
          <w:lang w:val="es-ES"/>
        </w:rPr>
      </w:pPr>
      <w:r>
        <w:rPr>
          <w:rFonts w:ascii="Arial" w:hAnsi="Arial" w:cs="Arial"/>
          <w:bCs/>
          <w:iCs/>
          <w:lang w:val="es-ES"/>
        </w:rPr>
        <w:t>Registro clínico de pacientes de:</w:t>
      </w:r>
    </w:p>
    <w:p w14:paraId="577CE6D7" w14:textId="77777777"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Ambos sexos</w:t>
      </w:r>
    </w:p>
    <w:p w14:paraId="30912874" w14:textId="77777777"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Edad entre 18 y 39 años</w:t>
      </w:r>
    </w:p>
    <w:p w14:paraId="201A2913" w14:textId="77777777"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Capacidad de caminar sin apoyo.</w:t>
      </w:r>
    </w:p>
    <w:p w14:paraId="2F7C3EF8" w14:textId="77777777"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 xml:space="preserve">Expectativa de vida superior a 7 días </w:t>
      </w:r>
    </w:p>
    <w:p w14:paraId="014A3811" w14:textId="77777777"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Autorización del médico tratante para participación</w:t>
      </w:r>
    </w:p>
    <w:p w14:paraId="67032880" w14:textId="7EFB1464" w:rsidR="0094257D" w:rsidRPr="0094257D" w:rsidRDefault="0094257D" w:rsidP="00D9312C">
      <w:pPr>
        <w:pStyle w:val="ListParagraph"/>
        <w:numPr>
          <w:ilvl w:val="0"/>
          <w:numId w:val="7"/>
        </w:numPr>
        <w:spacing w:line="360" w:lineRule="auto"/>
        <w:rPr>
          <w:rFonts w:ascii="Arial" w:hAnsi="Arial" w:cs="Arial"/>
          <w:bCs/>
          <w:iCs/>
          <w:lang w:val="es-MX"/>
        </w:rPr>
      </w:pPr>
      <w:r w:rsidRPr="0094257D">
        <w:rPr>
          <w:rFonts w:ascii="Arial" w:hAnsi="Arial" w:cs="Arial"/>
          <w:bCs/>
          <w:iCs/>
          <w:lang w:val="es-MX"/>
        </w:rPr>
        <w:t xml:space="preserve">Aceptación y firma de hoja de consentimiento informado </w:t>
      </w:r>
      <w:bookmarkStart w:id="4" w:name="_Toc41154973"/>
    </w:p>
    <w:p w14:paraId="7F35B1D4" w14:textId="76BEBAB9" w:rsidR="0094257D" w:rsidRPr="00E64E23" w:rsidRDefault="0094257D" w:rsidP="00D9312C">
      <w:pPr>
        <w:spacing w:line="360" w:lineRule="auto"/>
        <w:rPr>
          <w:rFonts w:ascii="Arial" w:hAnsi="Arial" w:cs="Arial"/>
          <w:bCs/>
          <w:iCs/>
          <w:lang w:val="es-MX"/>
        </w:rPr>
      </w:pPr>
      <w:bookmarkStart w:id="5" w:name="_Toc185430701"/>
      <w:r w:rsidRPr="00E64E23">
        <w:rPr>
          <w:rFonts w:ascii="Arial" w:hAnsi="Arial" w:cs="Arial"/>
          <w:bCs/>
          <w:iCs/>
          <w:lang w:val="es-MX"/>
        </w:rPr>
        <w:t xml:space="preserve">Criterios de </w:t>
      </w:r>
      <w:proofErr w:type="spellStart"/>
      <w:r w:rsidR="00E64E23" w:rsidRPr="00E64E23">
        <w:rPr>
          <w:rFonts w:ascii="Arial" w:hAnsi="Arial" w:cs="Arial"/>
          <w:bCs/>
          <w:iCs/>
          <w:lang w:val="es-MX"/>
        </w:rPr>
        <w:t>exclusion</w:t>
      </w:r>
      <w:bookmarkEnd w:id="4"/>
      <w:bookmarkEnd w:id="5"/>
      <w:proofErr w:type="spellEnd"/>
    </w:p>
    <w:p w14:paraId="0A5F3CF2" w14:textId="0A37F041" w:rsidR="00E64E23" w:rsidRPr="00E64E23" w:rsidRDefault="00E64E23" w:rsidP="00D9312C">
      <w:pPr>
        <w:spacing w:line="360" w:lineRule="auto"/>
        <w:rPr>
          <w:rFonts w:ascii="Arial" w:hAnsi="Arial" w:cs="Arial"/>
          <w:bCs/>
          <w:iCs/>
          <w:lang w:val="es-MX"/>
        </w:rPr>
      </w:pPr>
      <w:r w:rsidRPr="00E64E23">
        <w:rPr>
          <w:rFonts w:ascii="Arial" w:hAnsi="Arial" w:cs="Arial"/>
          <w:bCs/>
          <w:iCs/>
          <w:lang w:val="es-MX"/>
        </w:rPr>
        <w:t xml:space="preserve">Registro </w:t>
      </w:r>
      <w:r>
        <w:rPr>
          <w:rFonts w:ascii="Arial" w:hAnsi="Arial" w:cs="Arial"/>
          <w:bCs/>
          <w:iCs/>
          <w:lang w:val="es-MX"/>
        </w:rPr>
        <w:t>clínico de pacientes con:</w:t>
      </w:r>
    </w:p>
    <w:p w14:paraId="1DBB81EA" w14:textId="0F23494B" w:rsidR="0094257D" w:rsidRPr="0094257D" w:rsidRDefault="00E64E23" w:rsidP="00D9312C">
      <w:pPr>
        <w:pStyle w:val="ListParagraph"/>
        <w:numPr>
          <w:ilvl w:val="0"/>
          <w:numId w:val="8"/>
        </w:numPr>
        <w:spacing w:line="360" w:lineRule="auto"/>
        <w:rPr>
          <w:rFonts w:ascii="Arial" w:hAnsi="Arial" w:cs="Arial"/>
          <w:bCs/>
          <w:iCs/>
          <w:lang w:val="es-MX"/>
        </w:rPr>
      </w:pPr>
      <w:bookmarkStart w:id="6" w:name="_Toc41154974"/>
      <w:r>
        <w:rPr>
          <w:rFonts w:ascii="Arial" w:hAnsi="Arial" w:cs="Arial"/>
          <w:bCs/>
          <w:iCs/>
          <w:lang w:val="es-MX"/>
        </w:rPr>
        <w:t>N</w:t>
      </w:r>
      <w:r w:rsidR="0094257D" w:rsidRPr="0094257D">
        <w:rPr>
          <w:rFonts w:ascii="Arial" w:hAnsi="Arial" w:cs="Arial"/>
          <w:bCs/>
          <w:iCs/>
          <w:lang w:val="es-MX"/>
        </w:rPr>
        <w:t>eutropenia, infecciones y /o sangrado al ingreso de hospitalización.</w:t>
      </w:r>
    </w:p>
    <w:p w14:paraId="1A5FD429" w14:textId="2AEECEC8" w:rsidR="0094257D" w:rsidRPr="0094257D" w:rsidRDefault="00E64E23" w:rsidP="00D9312C">
      <w:pPr>
        <w:pStyle w:val="ListParagraph"/>
        <w:numPr>
          <w:ilvl w:val="0"/>
          <w:numId w:val="8"/>
        </w:numPr>
        <w:spacing w:line="360" w:lineRule="auto"/>
        <w:rPr>
          <w:rFonts w:ascii="Arial" w:hAnsi="Arial" w:cs="Arial"/>
          <w:bCs/>
          <w:iCs/>
          <w:lang w:val="es-MX"/>
        </w:rPr>
      </w:pPr>
      <w:r>
        <w:rPr>
          <w:rFonts w:ascii="Arial" w:hAnsi="Arial" w:cs="Arial"/>
          <w:bCs/>
          <w:iCs/>
          <w:lang w:val="es-MX"/>
        </w:rPr>
        <w:t>Inmovilidad</w:t>
      </w:r>
      <w:r w:rsidR="0094257D" w:rsidRPr="0094257D">
        <w:rPr>
          <w:rFonts w:ascii="Arial" w:hAnsi="Arial" w:cs="Arial"/>
          <w:bCs/>
          <w:iCs/>
          <w:lang w:val="es-MX"/>
        </w:rPr>
        <w:t xml:space="preserve"> o incapa</w:t>
      </w:r>
      <w:r>
        <w:rPr>
          <w:rFonts w:ascii="Arial" w:hAnsi="Arial" w:cs="Arial"/>
          <w:bCs/>
          <w:iCs/>
          <w:lang w:val="es-MX"/>
        </w:rPr>
        <w:t>cidad</w:t>
      </w:r>
      <w:r w:rsidR="0094257D" w:rsidRPr="0094257D">
        <w:rPr>
          <w:rFonts w:ascii="Arial" w:hAnsi="Arial" w:cs="Arial"/>
          <w:bCs/>
          <w:iCs/>
          <w:lang w:val="es-MX"/>
        </w:rPr>
        <w:t xml:space="preserve"> de realizar actividad física.</w:t>
      </w:r>
    </w:p>
    <w:p w14:paraId="7B4CD537" w14:textId="77777777" w:rsidR="0094257D" w:rsidRPr="0094257D" w:rsidRDefault="0094257D" w:rsidP="00D9312C">
      <w:pPr>
        <w:pStyle w:val="ListParagraph"/>
        <w:numPr>
          <w:ilvl w:val="0"/>
          <w:numId w:val="8"/>
        </w:numPr>
        <w:spacing w:line="360" w:lineRule="auto"/>
        <w:rPr>
          <w:rFonts w:ascii="Arial" w:hAnsi="Arial" w:cs="Arial"/>
          <w:bCs/>
          <w:iCs/>
          <w:lang w:val="es-MX"/>
        </w:rPr>
      </w:pPr>
      <w:r w:rsidRPr="0094257D">
        <w:rPr>
          <w:rFonts w:ascii="Arial" w:hAnsi="Arial" w:cs="Arial"/>
          <w:bCs/>
          <w:iCs/>
          <w:lang w:val="es-MX"/>
        </w:rPr>
        <w:t>Enfermedades del sistema nervioso central que imposibiliten el movimiento.</w:t>
      </w:r>
    </w:p>
    <w:p w14:paraId="004DD635" w14:textId="77777777" w:rsidR="0094257D" w:rsidRPr="0094257D" w:rsidRDefault="0094257D" w:rsidP="00D9312C">
      <w:pPr>
        <w:pStyle w:val="ListParagraph"/>
        <w:numPr>
          <w:ilvl w:val="0"/>
          <w:numId w:val="8"/>
        </w:numPr>
        <w:spacing w:line="360" w:lineRule="auto"/>
        <w:rPr>
          <w:rFonts w:ascii="Arial" w:hAnsi="Arial" w:cs="Arial"/>
          <w:bCs/>
          <w:iCs/>
          <w:lang w:val="es-MX"/>
        </w:rPr>
      </w:pPr>
      <w:r w:rsidRPr="0094257D">
        <w:rPr>
          <w:rFonts w:ascii="Arial" w:hAnsi="Arial" w:cs="Arial"/>
          <w:bCs/>
          <w:iCs/>
          <w:lang w:val="es-MX"/>
        </w:rPr>
        <w:lastRenderedPageBreak/>
        <w:t>Alteraciones de la función cardiaca evaluada mediante electrocardiograma (arritmias) y ecocardiograma (fracción de eyección)</w:t>
      </w:r>
    </w:p>
    <w:p w14:paraId="7A3E27B9" w14:textId="61773E93" w:rsidR="0094257D" w:rsidRPr="0094257D" w:rsidRDefault="00E64E23" w:rsidP="00D9312C">
      <w:pPr>
        <w:pStyle w:val="ListParagraph"/>
        <w:numPr>
          <w:ilvl w:val="0"/>
          <w:numId w:val="8"/>
        </w:numPr>
        <w:spacing w:line="360" w:lineRule="auto"/>
        <w:rPr>
          <w:rFonts w:ascii="Arial" w:hAnsi="Arial" w:cs="Arial"/>
          <w:bCs/>
          <w:iCs/>
          <w:lang w:val="es-MX"/>
        </w:rPr>
      </w:pPr>
      <w:r>
        <w:rPr>
          <w:rFonts w:ascii="Arial" w:hAnsi="Arial" w:cs="Arial"/>
          <w:bCs/>
          <w:iCs/>
          <w:lang w:val="es-ES"/>
        </w:rPr>
        <w:t>R</w:t>
      </w:r>
      <w:r w:rsidR="0094257D" w:rsidRPr="0094257D">
        <w:rPr>
          <w:rFonts w:ascii="Arial" w:hAnsi="Arial" w:cs="Arial"/>
          <w:bCs/>
          <w:iCs/>
          <w:lang w:val="es-ES"/>
        </w:rPr>
        <w:t>ecaída a médula ósea o sistema nervioso central</w:t>
      </w:r>
    </w:p>
    <w:p w14:paraId="5E670D06" w14:textId="51960937" w:rsidR="0094257D" w:rsidRPr="0094257D" w:rsidRDefault="00E64E23" w:rsidP="00D9312C">
      <w:pPr>
        <w:pStyle w:val="ListParagraph"/>
        <w:numPr>
          <w:ilvl w:val="0"/>
          <w:numId w:val="8"/>
        </w:numPr>
        <w:spacing w:line="360" w:lineRule="auto"/>
        <w:rPr>
          <w:rFonts w:ascii="Arial" w:hAnsi="Arial" w:cs="Arial"/>
          <w:bCs/>
          <w:iCs/>
          <w:lang w:val="es-MX"/>
        </w:rPr>
      </w:pPr>
      <w:r>
        <w:rPr>
          <w:rFonts w:ascii="Arial" w:hAnsi="Arial" w:cs="Arial"/>
          <w:bCs/>
          <w:iCs/>
          <w:lang w:val="es-ES"/>
        </w:rPr>
        <w:t>Referencias</w:t>
      </w:r>
      <w:r w:rsidR="0094257D" w:rsidRPr="0094257D">
        <w:rPr>
          <w:rFonts w:ascii="Arial" w:hAnsi="Arial" w:cs="Arial"/>
          <w:bCs/>
          <w:iCs/>
          <w:lang w:val="es-ES"/>
        </w:rPr>
        <w:t xml:space="preserve"> de otro hospital y que sean atendidos en el hospital  </w:t>
      </w:r>
    </w:p>
    <w:p w14:paraId="326B7AF8" w14:textId="77777777" w:rsidR="0094257D" w:rsidRPr="00DC04DA" w:rsidRDefault="0094257D" w:rsidP="00D9312C">
      <w:pPr>
        <w:spacing w:line="360" w:lineRule="auto"/>
        <w:rPr>
          <w:rFonts w:ascii="Arial" w:hAnsi="Arial" w:cs="Arial"/>
          <w:bCs/>
          <w:iCs/>
          <w:lang w:val="es-MX"/>
        </w:rPr>
      </w:pPr>
      <w:bookmarkStart w:id="7" w:name="_Toc185430702"/>
      <w:r w:rsidRPr="00DC04DA">
        <w:rPr>
          <w:rFonts w:ascii="Arial" w:hAnsi="Arial" w:cs="Arial"/>
          <w:bCs/>
          <w:iCs/>
          <w:lang w:val="es-MX"/>
        </w:rPr>
        <w:t>Criterios de eliminación</w:t>
      </w:r>
      <w:bookmarkEnd w:id="6"/>
      <w:bookmarkEnd w:id="7"/>
    </w:p>
    <w:p w14:paraId="1DBA5593" w14:textId="42AD4E34" w:rsidR="00E64E23" w:rsidRPr="00E64E23" w:rsidRDefault="00E64E23" w:rsidP="00D9312C">
      <w:pPr>
        <w:spacing w:line="360" w:lineRule="auto"/>
        <w:rPr>
          <w:rFonts w:ascii="Arial" w:hAnsi="Arial" w:cs="Arial"/>
          <w:bCs/>
          <w:iCs/>
          <w:lang w:val="es-MX"/>
        </w:rPr>
      </w:pPr>
      <w:r w:rsidRPr="00E64E23">
        <w:rPr>
          <w:rFonts w:ascii="Arial" w:hAnsi="Arial" w:cs="Arial"/>
          <w:bCs/>
          <w:iCs/>
          <w:lang w:val="es-MX"/>
        </w:rPr>
        <w:t>Registro clínico de pacientes q</w:t>
      </w:r>
      <w:r>
        <w:rPr>
          <w:rFonts w:ascii="Arial" w:hAnsi="Arial" w:cs="Arial"/>
          <w:bCs/>
          <w:iCs/>
          <w:lang w:val="es-MX"/>
        </w:rPr>
        <w:t>ue</w:t>
      </w:r>
    </w:p>
    <w:p w14:paraId="278E69A6" w14:textId="7850872A" w:rsidR="0094257D" w:rsidRPr="0094257D" w:rsidRDefault="0094257D" w:rsidP="00D9312C">
      <w:pPr>
        <w:pStyle w:val="ListParagraph"/>
        <w:numPr>
          <w:ilvl w:val="0"/>
          <w:numId w:val="9"/>
        </w:numPr>
        <w:spacing w:line="360" w:lineRule="auto"/>
        <w:rPr>
          <w:rFonts w:ascii="Arial" w:hAnsi="Arial" w:cs="Arial"/>
          <w:lang w:val="es-MX"/>
        </w:rPr>
      </w:pPr>
      <w:r w:rsidRPr="0094257D">
        <w:rPr>
          <w:rFonts w:ascii="Arial" w:hAnsi="Arial" w:cs="Arial"/>
          <w:lang w:val="es-ES"/>
        </w:rPr>
        <w:t>Abandon</w:t>
      </w:r>
      <w:r w:rsidR="00E64E23">
        <w:rPr>
          <w:rFonts w:ascii="Arial" w:hAnsi="Arial" w:cs="Arial"/>
          <w:lang w:val="es-ES"/>
        </w:rPr>
        <w:t>aron</w:t>
      </w:r>
      <w:r w:rsidRPr="0094257D">
        <w:rPr>
          <w:rFonts w:ascii="Arial" w:hAnsi="Arial" w:cs="Arial"/>
          <w:lang w:val="es-ES"/>
        </w:rPr>
        <w:t xml:space="preserve"> o retir</w:t>
      </w:r>
      <w:r w:rsidR="00E64E23">
        <w:rPr>
          <w:rFonts w:ascii="Arial" w:hAnsi="Arial" w:cs="Arial"/>
          <w:lang w:val="es-ES"/>
        </w:rPr>
        <w:t>aron</w:t>
      </w:r>
      <w:r w:rsidRPr="0094257D">
        <w:rPr>
          <w:rFonts w:ascii="Arial" w:hAnsi="Arial" w:cs="Arial"/>
          <w:lang w:val="es-ES"/>
        </w:rPr>
        <w:t xml:space="preserve"> de la carta de consentimiento.</w:t>
      </w:r>
    </w:p>
    <w:p w14:paraId="5AF14BC6" w14:textId="0AFDF3CB" w:rsidR="0094257D" w:rsidRPr="0094257D" w:rsidRDefault="0094257D" w:rsidP="00D9312C">
      <w:pPr>
        <w:pStyle w:val="ListParagraph"/>
        <w:numPr>
          <w:ilvl w:val="0"/>
          <w:numId w:val="9"/>
        </w:numPr>
        <w:spacing w:line="360" w:lineRule="auto"/>
        <w:rPr>
          <w:rFonts w:ascii="Arial" w:hAnsi="Arial" w:cs="Arial"/>
          <w:lang w:val="es-MX"/>
        </w:rPr>
      </w:pPr>
      <w:r w:rsidRPr="0094257D">
        <w:rPr>
          <w:rFonts w:ascii="Arial" w:hAnsi="Arial" w:cs="Arial"/>
          <w:lang w:val="es-MX"/>
        </w:rPr>
        <w:t>Sufri</w:t>
      </w:r>
      <w:r w:rsidR="00E64E23">
        <w:rPr>
          <w:rFonts w:ascii="Arial" w:hAnsi="Arial" w:cs="Arial"/>
          <w:lang w:val="es-MX"/>
        </w:rPr>
        <w:t>eron</w:t>
      </w:r>
      <w:r w:rsidRPr="0094257D">
        <w:rPr>
          <w:rFonts w:ascii="Arial" w:hAnsi="Arial" w:cs="Arial"/>
          <w:lang w:val="es-MX"/>
        </w:rPr>
        <w:t xml:space="preserve"> algún tipo de lesión que no permita la realización del ejercicio correctamente.</w:t>
      </w:r>
    </w:p>
    <w:p w14:paraId="587676CC" w14:textId="2BCD42FC" w:rsidR="0094257D" w:rsidRPr="0094257D" w:rsidRDefault="00E64E23" w:rsidP="00D9312C">
      <w:pPr>
        <w:pStyle w:val="ListParagraph"/>
        <w:numPr>
          <w:ilvl w:val="0"/>
          <w:numId w:val="9"/>
        </w:numPr>
        <w:spacing w:line="360" w:lineRule="auto"/>
        <w:rPr>
          <w:rFonts w:ascii="Arial" w:hAnsi="Arial" w:cs="Arial"/>
          <w:lang w:val="es-MX"/>
        </w:rPr>
      </w:pPr>
      <w:r>
        <w:rPr>
          <w:rFonts w:ascii="Arial" w:hAnsi="Arial" w:cs="Arial"/>
          <w:lang w:val="es-ES"/>
        </w:rPr>
        <w:t>Mostraron i</w:t>
      </w:r>
      <w:r w:rsidR="0094257D" w:rsidRPr="0094257D">
        <w:rPr>
          <w:rFonts w:ascii="Arial" w:hAnsi="Arial" w:cs="Arial"/>
          <w:lang w:val="es-ES"/>
        </w:rPr>
        <w:t>nestabilidad hemodinámica</w:t>
      </w:r>
    </w:p>
    <w:p w14:paraId="18E69D82" w14:textId="25C0710B" w:rsidR="0094257D" w:rsidRPr="0094257D" w:rsidRDefault="00E64E23" w:rsidP="00D9312C">
      <w:pPr>
        <w:pStyle w:val="ListParagraph"/>
        <w:numPr>
          <w:ilvl w:val="0"/>
          <w:numId w:val="9"/>
        </w:numPr>
        <w:spacing w:line="360" w:lineRule="auto"/>
        <w:rPr>
          <w:rFonts w:ascii="Arial" w:hAnsi="Arial" w:cs="Arial"/>
          <w:lang w:val="es-MX"/>
        </w:rPr>
      </w:pPr>
      <w:r>
        <w:rPr>
          <w:rFonts w:ascii="Arial" w:hAnsi="Arial" w:cs="Arial"/>
          <w:lang w:val="es-ES"/>
        </w:rPr>
        <w:t>Presentaron h</w:t>
      </w:r>
      <w:r w:rsidR="0094257D" w:rsidRPr="0094257D">
        <w:rPr>
          <w:rFonts w:ascii="Arial" w:hAnsi="Arial" w:cs="Arial"/>
          <w:lang w:val="es-ES"/>
        </w:rPr>
        <w:t>emorragia activa que ponga en riesgo la vida</w:t>
      </w:r>
    </w:p>
    <w:p w14:paraId="652A58C2" w14:textId="38EA6274" w:rsidR="00B50029" w:rsidRPr="00986490" w:rsidRDefault="00B50029" w:rsidP="00B50029">
      <w:pPr>
        <w:pStyle w:val="ListParagraph"/>
        <w:numPr>
          <w:ilvl w:val="0"/>
          <w:numId w:val="9"/>
        </w:numPr>
        <w:spacing w:line="360" w:lineRule="auto"/>
        <w:rPr>
          <w:rFonts w:ascii="Arial" w:hAnsi="Arial" w:cs="Arial"/>
          <w:lang w:val="es-MX"/>
        </w:rPr>
      </w:pPr>
      <w:r>
        <w:rPr>
          <w:rFonts w:ascii="Arial" w:hAnsi="Arial" w:cs="Arial"/>
          <w:lang w:val="es-ES"/>
        </w:rPr>
        <w:t>Manifestaron p</w:t>
      </w:r>
      <w:r w:rsidR="0094257D" w:rsidRPr="0094257D">
        <w:rPr>
          <w:rFonts w:ascii="Arial" w:hAnsi="Arial" w:cs="Arial"/>
          <w:lang w:val="es-ES"/>
        </w:rPr>
        <w:t>laquetopenia por más de 7 días (plaquetas &lt; 20 x 10</w:t>
      </w:r>
      <w:r w:rsidR="0094257D" w:rsidRPr="0094257D">
        <w:rPr>
          <w:rFonts w:ascii="Arial" w:hAnsi="Arial" w:cs="Arial"/>
          <w:vertAlign w:val="superscript"/>
          <w:lang w:val="es-ES"/>
        </w:rPr>
        <w:t>3</w:t>
      </w:r>
      <w:r w:rsidR="0094257D" w:rsidRPr="0094257D">
        <w:rPr>
          <w:rFonts w:ascii="Arial" w:hAnsi="Arial" w:cs="Arial"/>
          <w:lang w:val="es-ES"/>
        </w:rPr>
        <w:t>/µl)</w:t>
      </w:r>
    </w:p>
    <w:p w14:paraId="35DE21BD" w14:textId="51C426FF" w:rsidR="00E74394" w:rsidRDefault="0094257D" w:rsidP="00D9312C">
      <w:pPr>
        <w:spacing w:line="360" w:lineRule="auto"/>
        <w:jc w:val="both"/>
        <w:rPr>
          <w:rFonts w:ascii="Arial" w:hAnsi="Arial" w:cs="Arial"/>
          <w:b/>
          <w:bCs/>
          <w:lang w:val="es-MX"/>
        </w:rPr>
      </w:pPr>
      <w:r w:rsidRPr="00986490">
        <w:rPr>
          <w:rFonts w:ascii="Arial" w:hAnsi="Arial" w:cs="Arial"/>
          <w:b/>
          <w:bCs/>
          <w:lang w:val="es-MX"/>
        </w:rPr>
        <w:t>Cálculo</w:t>
      </w:r>
      <w:r w:rsidR="00E74394" w:rsidRPr="00986490">
        <w:rPr>
          <w:rFonts w:ascii="Arial" w:hAnsi="Arial" w:cs="Arial"/>
          <w:b/>
          <w:bCs/>
          <w:lang w:val="es-MX"/>
        </w:rPr>
        <w:t xml:space="preserve"> de tamaño de la muestra</w:t>
      </w:r>
    </w:p>
    <w:p w14:paraId="20BFA064" w14:textId="77777777" w:rsidR="00986490" w:rsidRPr="00986490" w:rsidRDefault="00986490" w:rsidP="00986490">
      <w:pPr>
        <w:spacing w:line="360" w:lineRule="auto"/>
        <w:jc w:val="both"/>
        <w:rPr>
          <w:rFonts w:ascii="Arial" w:hAnsi="Arial" w:cs="Arial"/>
          <w:lang w:val="es-MX"/>
        </w:rPr>
      </w:pPr>
      <w:r w:rsidRPr="00986490">
        <w:rPr>
          <w:rFonts w:ascii="Arial" w:hAnsi="Arial" w:cs="Arial"/>
          <w:lang w:val="es-MX"/>
        </w:rPr>
        <w:t>El tamaño de muestra fue determinado previamente para el protocolo de intervención original, cuyo objetivo principal era evaluar los efectos del ejercicio físico sobre la composición corporal, biomarcadores inflamatorios y funcionalidad en pacientes con leucemia linfoblástica aguda.</w:t>
      </w:r>
    </w:p>
    <w:p w14:paraId="7278D426" w14:textId="6C8B3207" w:rsidR="00986490" w:rsidRPr="00986490" w:rsidRDefault="00986490" w:rsidP="00986490">
      <w:pPr>
        <w:spacing w:line="360" w:lineRule="auto"/>
        <w:jc w:val="both"/>
        <w:rPr>
          <w:rFonts w:ascii="Arial" w:hAnsi="Arial" w:cs="Arial"/>
          <w:lang w:val="es-MX"/>
        </w:rPr>
      </w:pPr>
      <w:r w:rsidRPr="00986490">
        <w:rPr>
          <w:rFonts w:ascii="Arial" w:hAnsi="Arial" w:cs="Arial"/>
          <w:lang w:val="es-MX"/>
        </w:rPr>
        <w:t>Para el presente análisis retrospectivo, se trabajará con la totalidad de los pacientes incluidos en dicha base de datos que cuenten con información completa sobre las variables clínicas y funcionales necesarias para evaluar la asociación entre desempeño físico y recaída.</w:t>
      </w:r>
    </w:p>
    <w:p w14:paraId="332F1139" w14:textId="37BA49ED" w:rsidR="00E74394" w:rsidRPr="0094257D" w:rsidRDefault="00E74394" w:rsidP="00D9312C">
      <w:pPr>
        <w:spacing w:line="360" w:lineRule="auto"/>
        <w:jc w:val="both"/>
        <w:rPr>
          <w:rFonts w:ascii="Arial" w:hAnsi="Arial" w:cs="Arial"/>
          <w:b/>
          <w:bCs/>
          <w:lang w:val="es-MX"/>
        </w:rPr>
      </w:pPr>
      <w:r w:rsidRPr="0094257D">
        <w:rPr>
          <w:rFonts w:ascii="Arial" w:hAnsi="Arial" w:cs="Arial"/>
          <w:b/>
          <w:bCs/>
          <w:lang w:val="es-MX"/>
        </w:rPr>
        <w:t>Proc</w:t>
      </w:r>
      <w:r w:rsidRPr="00570DB1">
        <w:rPr>
          <w:rFonts w:ascii="Arial" w:hAnsi="Arial" w:cs="Arial"/>
          <w:b/>
          <w:bCs/>
          <w:lang w:val="es-MX"/>
        </w:rPr>
        <w:t>edimient</w:t>
      </w:r>
      <w:r w:rsidRPr="0094257D">
        <w:rPr>
          <w:rFonts w:ascii="Arial" w:hAnsi="Arial" w:cs="Arial"/>
          <w:b/>
          <w:bCs/>
          <w:lang w:val="es-MX"/>
        </w:rPr>
        <w:t>o</w:t>
      </w:r>
    </w:p>
    <w:p w14:paraId="7DFA8E9F" w14:textId="2D1511CF" w:rsidR="00986490" w:rsidRPr="00986490" w:rsidRDefault="00986490" w:rsidP="00986490">
      <w:pPr>
        <w:pStyle w:val="p"/>
        <w:spacing w:line="360" w:lineRule="auto"/>
        <w:jc w:val="both"/>
        <w:rPr>
          <w:rFonts w:ascii="Arial" w:hAnsi="Arial" w:cs="Arial"/>
        </w:rPr>
      </w:pPr>
      <w:bookmarkStart w:id="8" w:name="_Toc185430705"/>
      <w:r w:rsidRPr="00986490">
        <w:rPr>
          <w:rFonts w:ascii="Arial" w:hAnsi="Arial" w:cs="Arial"/>
        </w:rPr>
        <w:t xml:space="preserve">Los datos utilizados en este estudio provienen de un protocolo de intervención previamente implementado en el Servicio de Hematología del Hospital General de México. En dicho protocolo, se reclutaron pacientes adultos jóvenes con diagnóstico confirmado de leucemia linfoblástica aguda durante su fase de inducción a la remisión. El proceso de reclutamiento se llevó a cabo mediante invitación directa durante la </w:t>
      </w:r>
      <w:r w:rsidRPr="00986490">
        <w:rPr>
          <w:rFonts w:ascii="Arial" w:hAnsi="Arial" w:cs="Arial"/>
        </w:rPr>
        <w:lastRenderedPageBreak/>
        <w:t>hospitalización, tras la cual los participantes firmaron un consentimiento informado previamente aprobado por el comité de ética institucional.</w:t>
      </w:r>
    </w:p>
    <w:p w14:paraId="459678ED" w14:textId="44C44331" w:rsidR="00986490" w:rsidRPr="00986490" w:rsidRDefault="00986490" w:rsidP="00986490">
      <w:pPr>
        <w:pStyle w:val="p"/>
        <w:spacing w:line="360" w:lineRule="auto"/>
        <w:jc w:val="both"/>
        <w:rPr>
          <w:rFonts w:ascii="Arial" w:hAnsi="Arial" w:cs="Arial"/>
        </w:rPr>
      </w:pPr>
      <w:r w:rsidRPr="00986490">
        <w:rPr>
          <w:rFonts w:ascii="Arial" w:hAnsi="Arial" w:cs="Arial"/>
        </w:rPr>
        <w:t xml:space="preserve">La asignación a los grupos de intervención se realizó mediante aleatorización simple, utilizando una tabla generada por una función de distribución aleatoria en </w:t>
      </w:r>
      <w:proofErr w:type="spellStart"/>
      <w:r>
        <w:rPr>
          <w:rFonts w:ascii="Arial" w:hAnsi="Arial" w:cs="Arial"/>
        </w:rPr>
        <w:t>Epidat</w:t>
      </w:r>
      <w:proofErr w:type="spellEnd"/>
      <w:r>
        <w:rPr>
          <w:rFonts w:ascii="Arial" w:hAnsi="Arial" w:cs="Arial"/>
        </w:rPr>
        <w:t>®</w:t>
      </w:r>
      <w:r w:rsidRPr="00986490">
        <w:rPr>
          <w:rFonts w:ascii="Arial" w:hAnsi="Arial" w:cs="Arial"/>
        </w:rPr>
        <w:t>. Esta tabla permitió distribuir de forma equitativa a los pacientes entre los grupos de ejercicio físico, garantizando la imparcialidad del procedimiento.</w:t>
      </w:r>
    </w:p>
    <w:p w14:paraId="38A9F15E" w14:textId="57776460" w:rsidR="00986490" w:rsidRPr="00986490" w:rsidRDefault="00986490" w:rsidP="00986490">
      <w:pPr>
        <w:pStyle w:val="p"/>
        <w:spacing w:line="360" w:lineRule="auto"/>
        <w:jc w:val="both"/>
        <w:rPr>
          <w:rFonts w:ascii="Arial" w:hAnsi="Arial" w:cs="Arial"/>
        </w:rPr>
      </w:pPr>
      <w:r w:rsidRPr="00986490">
        <w:rPr>
          <w:rFonts w:ascii="Arial" w:hAnsi="Arial" w:cs="Arial"/>
        </w:rPr>
        <w:t xml:space="preserve">Los pacientes incluidos participaron en un programa de ejercicio físico supervisado durante su hospitalización, y se evaluaron variables clínicas, antropométricas, de calidad de vida y de </w:t>
      </w:r>
      <w:r w:rsidR="00220CF9">
        <w:rPr>
          <w:rFonts w:ascii="Arial" w:hAnsi="Arial" w:cs="Arial"/>
        </w:rPr>
        <w:t>desempeño</w:t>
      </w:r>
      <w:r w:rsidRPr="00986490">
        <w:rPr>
          <w:rFonts w:ascii="Arial" w:hAnsi="Arial" w:cs="Arial"/>
        </w:rPr>
        <w:t xml:space="preserve"> físico al inicio y al final del protocolo. Los datos clínicos relacionados con la evolución posterior, incluyendo la aparición de recaída, fueron extraídos de los</w:t>
      </w:r>
      <w:r>
        <w:rPr>
          <w:rFonts w:ascii="Arial" w:hAnsi="Arial" w:cs="Arial"/>
        </w:rPr>
        <w:t xml:space="preserve"> registros clínicos</w:t>
      </w:r>
      <w:r w:rsidRPr="00986490">
        <w:rPr>
          <w:rFonts w:ascii="Arial" w:hAnsi="Arial" w:cs="Arial"/>
        </w:rPr>
        <w:t>.</w:t>
      </w:r>
    </w:p>
    <w:p w14:paraId="6D6C8ECE" w14:textId="78AF5AF6" w:rsidR="00986490" w:rsidRPr="00986490" w:rsidRDefault="00986490" w:rsidP="00986490">
      <w:pPr>
        <w:pStyle w:val="p"/>
        <w:spacing w:line="360" w:lineRule="auto"/>
        <w:jc w:val="both"/>
        <w:rPr>
          <w:rFonts w:ascii="Arial" w:hAnsi="Arial" w:cs="Arial"/>
        </w:rPr>
      </w:pPr>
      <w:r w:rsidRPr="00986490">
        <w:rPr>
          <w:rFonts w:ascii="Arial" w:hAnsi="Arial" w:cs="Arial"/>
        </w:rPr>
        <w:t>Para este análisis, únicamente se considerarán aquellos pacientes que cuenten con información completa respecto al nivel de desempeño físico al final de la intervención y el registro clínico de recaída.</w:t>
      </w:r>
    </w:p>
    <w:bookmarkEnd w:id="8"/>
    <w:p w14:paraId="09752236" w14:textId="0930DBCC" w:rsidR="00A070C3" w:rsidRPr="00A070C3" w:rsidRDefault="00A070C3" w:rsidP="00A070C3">
      <w:pPr>
        <w:tabs>
          <w:tab w:val="left" w:pos="7938"/>
        </w:tabs>
        <w:spacing w:line="360" w:lineRule="auto"/>
        <w:jc w:val="both"/>
        <w:rPr>
          <w:rFonts w:ascii="Arial" w:eastAsia="Times New Roman" w:hAnsi="Arial" w:cs="Arial"/>
          <w:b/>
          <w:kern w:val="0"/>
          <w:lang w:val="es-MX" w:eastAsia="es-MX"/>
        </w:rPr>
      </w:pPr>
      <w:r w:rsidRPr="00A070C3">
        <w:rPr>
          <w:rFonts w:ascii="Arial" w:eastAsia="Times New Roman" w:hAnsi="Arial" w:cs="Arial"/>
          <w:bCs/>
          <w:kern w:val="0"/>
          <w:lang w:val="es-MX" w:eastAsia="es-MX"/>
        </w:rPr>
        <w:t>Como</w:t>
      </w:r>
      <w:r w:rsidRPr="00A070C3">
        <w:rPr>
          <w:rFonts w:ascii="Arial" w:eastAsia="Times New Roman" w:hAnsi="Arial" w:cs="Arial"/>
          <w:b/>
          <w:kern w:val="0"/>
          <w:lang w:val="es-MX" w:eastAsia="es-MX"/>
        </w:rPr>
        <w:t xml:space="preserve"> </w:t>
      </w:r>
      <w:r w:rsidRPr="00A070C3">
        <w:rPr>
          <w:rFonts w:ascii="Arial" w:eastAsia="Times New Roman" w:hAnsi="Arial" w:cs="Arial"/>
          <w:bCs/>
          <w:kern w:val="0"/>
          <w:lang w:val="es-MX" w:eastAsia="es-MX"/>
        </w:rPr>
        <w:t xml:space="preserve">parte del protocolo de intervención original, se realizó una valoración del </w:t>
      </w:r>
      <w:r w:rsidR="00D33E22">
        <w:rPr>
          <w:rFonts w:ascii="Arial" w:eastAsia="Times New Roman" w:hAnsi="Arial" w:cs="Arial"/>
          <w:bCs/>
          <w:kern w:val="0"/>
          <w:lang w:val="es-MX" w:eastAsia="es-MX"/>
        </w:rPr>
        <w:t>desempeño</w:t>
      </w:r>
      <w:r w:rsidRPr="00A070C3">
        <w:rPr>
          <w:rFonts w:ascii="Arial" w:eastAsia="Times New Roman" w:hAnsi="Arial" w:cs="Arial"/>
          <w:bCs/>
          <w:kern w:val="0"/>
          <w:lang w:val="es-MX" w:eastAsia="es-MX"/>
        </w:rPr>
        <w:t xml:space="preserve"> físico en dos momentos: al ingreso hospitalario y al finalizar el programa de ejercicio físico supervisado. Esta evaluación tuvo como objetivo cuantificar la capacidad funcional de los pacientes a través de pruebas validadas, de fácil aplicación y bajo requerimiento de recursos, adecuadas para pacientes hospitalizados.</w:t>
      </w:r>
    </w:p>
    <w:p w14:paraId="4A64F753" w14:textId="77777777" w:rsidR="00A070C3" w:rsidRP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Cs/>
          <w:kern w:val="0"/>
          <w:lang w:val="es-MX" w:eastAsia="es-MX"/>
        </w:rPr>
        <w:t>Se utilizaron las siguientes pruebas:</w:t>
      </w:r>
    </w:p>
    <w:p w14:paraId="70445B5E" w14:textId="1C4B767E" w:rsidR="00A070C3" w:rsidRP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Caminata de seis minutos (6MWT)</w:t>
      </w:r>
      <w:r w:rsidRPr="00A070C3">
        <w:rPr>
          <w:rFonts w:ascii="Arial" w:eastAsia="Times New Roman" w:hAnsi="Arial" w:cs="Arial"/>
          <w:bCs/>
          <w:kern w:val="0"/>
          <w:lang w:val="es-MX" w:eastAsia="es-MX"/>
        </w:rPr>
        <w:t>: Se solicitó al paciente caminar una distancia de 20 metros durante seis minutos, a la mayor velocidad posible sin correr ni detenerse. Se registró la distancia total recorrida, así como la frecuencia cardiaca, saturación de oxígeno y presión arterial antes y después de la prueba. Al finalizar, se aplicó la Escala de Borg (1–10) para registrar la percepción del esfuerzo.</w:t>
      </w:r>
    </w:p>
    <w:p w14:paraId="793294E8" w14:textId="160D7CFE" w:rsidR="00A070C3" w:rsidRP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Prueba de sentadillas en 30 segundos (</w:t>
      </w:r>
      <w:proofErr w:type="spellStart"/>
      <w:r w:rsidRPr="00A070C3">
        <w:rPr>
          <w:rFonts w:ascii="Arial" w:eastAsia="Times New Roman" w:hAnsi="Arial" w:cs="Arial"/>
          <w:b/>
          <w:kern w:val="0"/>
          <w:lang w:val="es-MX" w:eastAsia="es-MX"/>
        </w:rPr>
        <w:t>Sit</w:t>
      </w:r>
      <w:proofErr w:type="spellEnd"/>
      <w:r w:rsidRPr="00A070C3">
        <w:rPr>
          <w:rFonts w:ascii="Arial" w:eastAsia="Times New Roman" w:hAnsi="Arial" w:cs="Arial"/>
          <w:b/>
          <w:kern w:val="0"/>
          <w:lang w:val="es-MX" w:eastAsia="es-MX"/>
        </w:rPr>
        <w:t xml:space="preserve"> </w:t>
      </w:r>
      <w:proofErr w:type="spellStart"/>
      <w:r w:rsidRPr="00A070C3">
        <w:rPr>
          <w:rFonts w:ascii="Arial" w:eastAsia="Times New Roman" w:hAnsi="Arial" w:cs="Arial"/>
          <w:b/>
          <w:kern w:val="0"/>
          <w:lang w:val="es-MX" w:eastAsia="es-MX"/>
        </w:rPr>
        <w:t>to</w:t>
      </w:r>
      <w:proofErr w:type="spellEnd"/>
      <w:r w:rsidRPr="00A070C3">
        <w:rPr>
          <w:rFonts w:ascii="Arial" w:eastAsia="Times New Roman" w:hAnsi="Arial" w:cs="Arial"/>
          <w:b/>
          <w:kern w:val="0"/>
          <w:lang w:val="es-MX" w:eastAsia="es-MX"/>
        </w:rPr>
        <w:t xml:space="preserve"> Stand Test):</w:t>
      </w:r>
      <w:r w:rsidRPr="00A070C3">
        <w:rPr>
          <w:rFonts w:ascii="Arial" w:eastAsia="Times New Roman" w:hAnsi="Arial" w:cs="Arial"/>
          <w:bCs/>
          <w:kern w:val="0"/>
          <w:lang w:val="es-MX" w:eastAsia="es-MX"/>
        </w:rPr>
        <w:t xml:space="preserve"> El paciente realizó el mayor número posible de sentadillas profundas en un lapso de 30 segundos, con las manos en </w:t>
      </w:r>
      <w:r w:rsidRPr="00A070C3">
        <w:rPr>
          <w:rFonts w:ascii="Arial" w:eastAsia="Times New Roman" w:hAnsi="Arial" w:cs="Arial"/>
          <w:bCs/>
          <w:kern w:val="0"/>
          <w:lang w:val="es-MX" w:eastAsia="es-MX"/>
        </w:rPr>
        <w:lastRenderedPageBreak/>
        <w:t>la cadera y sobre un asiento de 44 cm de altura, para evaluar la resistencia aeróbica de corta duración.</w:t>
      </w:r>
    </w:p>
    <w:p w14:paraId="7E8EAE96" w14:textId="6E165B70" w:rsidR="00A070C3" w:rsidRP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Prueba de fuerza de prensión manual (</w:t>
      </w:r>
      <w:proofErr w:type="spellStart"/>
      <w:r w:rsidRPr="00A070C3">
        <w:rPr>
          <w:rFonts w:ascii="Arial" w:eastAsia="Times New Roman" w:hAnsi="Arial" w:cs="Arial"/>
          <w:b/>
          <w:kern w:val="0"/>
          <w:lang w:val="es-MX" w:eastAsia="es-MX"/>
        </w:rPr>
        <w:t>Handgrip</w:t>
      </w:r>
      <w:proofErr w:type="spellEnd"/>
      <w:r w:rsidRPr="00A070C3">
        <w:rPr>
          <w:rFonts w:ascii="Arial" w:eastAsia="Times New Roman" w:hAnsi="Arial" w:cs="Arial"/>
          <w:b/>
          <w:kern w:val="0"/>
          <w:lang w:val="es-MX" w:eastAsia="es-MX"/>
        </w:rPr>
        <w:t xml:space="preserve"> </w:t>
      </w:r>
      <w:proofErr w:type="spellStart"/>
      <w:r w:rsidRPr="00A070C3">
        <w:rPr>
          <w:rFonts w:ascii="Arial" w:eastAsia="Times New Roman" w:hAnsi="Arial" w:cs="Arial"/>
          <w:b/>
          <w:kern w:val="0"/>
          <w:lang w:val="es-MX" w:eastAsia="es-MX"/>
        </w:rPr>
        <w:t>Strength</w:t>
      </w:r>
      <w:proofErr w:type="spellEnd"/>
      <w:r w:rsidRPr="00A070C3">
        <w:rPr>
          <w:rFonts w:ascii="Arial" w:eastAsia="Times New Roman" w:hAnsi="Arial" w:cs="Arial"/>
          <w:b/>
          <w:kern w:val="0"/>
          <w:lang w:val="es-MX" w:eastAsia="es-MX"/>
        </w:rPr>
        <w:t>)</w:t>
      </w:r>
      <w:r w:rsidRPr="00A070C3">
        <w:rPr>
          <w:rFonts w:ascii="Arial" w:eastAsia="Times New Roman" w:hAnsi="Arial" w:cs="Arial"/>
          <w:bCs/>
          <w:kern w:val="0"/>
          <w:lang w:val="es-MX" w:eastAsia="es-MX"/>
        </w:rPr>
        <w:t>: Se utilizó un dinamómetro manual para medir la fuerza de agarre de la extremidad dominante. El paciente realizó tres intentos, y se registró el promedio de las mediciones.</w:t>
      </w:r>
    </w:p>
    <w:p w14:paraId="40F41660" w14:textId="6ABED08B" w:rsidR="00A070C3" w:rsidRP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Prueba de levantarse y andar (</w:t>
      </w:r>
      <w:proofErr w:type="spellStart"/>
      <w:r w:rsidRPr="00A070C3">
        <w:rPr>
          <w:rFonts w:ascii="Arial" w:eastAsia="Times New Roman" w:hAnsi="Arial" w:cs="Arial"/>
          <w:b/>
          <w:kern w:val="0"/>
          <w:lang w:val="es-MX" w:eastAsia="es-MX"/>
        </w:rPr>
        <w:t>Timed</w:t>
      </w:r>
      <w:proofErr w:type="spellEnd"/>
      <w:r w:rsidRPr="00A070C3">
        <w:rPr>
          <w:rFonts w:ascii="Arial" w:eastAsia="Times New Roman" w:hAnsi="Arial" w:cs="Arial"/>
          <w:b/>
          <w:kern w:val="0"/>
          <w:lang w:val="es-MX" w:eastAsia="es-MX"/>
        </w:rPr>
        <w:t xml:space="preserve"> Up and </w:t>
      </w:r>
      <w:proofErr w:type="spellStart"/>
      <w:r w:rsidRPr="00A070C3">
        <w:rPr>
          <w:rFonts w:ascii="Arial" w:eastAsia="Times New Roman" w:hAnsi="Arial" w:cs="Arial"/>
          <w:b/>
          <w:kern w:val="0"/>
          <w:lang w:val="es-MX" w:eastAsia="es-MX"/>
        </w:rPr>
        <w:t>Go</w:t>
      </w:r>
      <w:proofErr w:type="spellEnd"/>
      <w:r w:rsidRPr="00A070C3">
        <w:rPr>
          <w:rFonts w:ascii="Arial" w:eastAsia="Times New Roman" w:hAnsi="Arial" w:cs="Arial"/>
          <w:b/>
          <w:kern w:val="0"/>
          <w:lang w:val="es-MX" w:eastAsia="es-MX"/>
        </w:rPr>
        <w:t>):</w:t>
      </w:r>
      <w:r w:rsidRPr="00A070C3">
        <w:rPr>
          <w:rFonts w:ascii="Arial" w:eastAsia="Times New Roman" w:hAnsi="Arial" w:cs="Arial"/>
          <w:bCs/>
          <w:kern w:val="0"/>
          <w:lang w:val="es-MX" w:eastAsia="es-MX"/>
        </w:rPr>
        <w:t xml:space="preserve"> El paciente se sentó en una silla, se levantó, caminó tres metros, dio la vuelta y regresó para sentarse nuevamente. Se midió el tiempo total requerido para completar el circuito.</w:t>
      </w:r>
    </w:p>
    <w:p w14:paraId="5B39B979" w14:textId="77777777" w:rsidR="00A070C3" w:rsidRDefault="00A070C3" w:rsidP="00A070C3">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Prueba de abdominales en 30 segundos:</w:t>
      </w:r>
      <w:r w:rsidRPr="00A070C3">
        <w:rPr>
          <w:rFonts w:ascii="Arial" w:eastAsia="Times New Roman" w:hAnsi="Arial" w:cs="Arial"/>
          <w:bCs/>
          <w:kern w:val="0"/>
          <w:lang w:val="es-MX" w:eastAsia="es-MX"/>
        </w:rPr>
        <w:t xml:space="preserve"> El paciente se recostó en posición supina, con las piernas flexionadas y los pies apoyados en el suelo. Se le indicó realizar la mayor cantidad posible de abdominales en 30 segundos. Esta prueba evaluó la fuerza-resistencia de la musculatura abdominal.</w:t>
      </w:r>
    </w:p>
    <w:p w14:paraId="3BD78B24" w14:textId="161D89C1" w:rsidR="000E5C7F" w:rsidRDefault="00A070C3" w:rsidP="000E5C7F">
      <w:pPr>
        <w:tabs>
          <w:tab w:val="left" w:pos="7938"/>
        </w:tabs>
        <w:spacing w:line="360" w:lineRule="auto"/>
        <w:jc w:val="both"/>
        <w:rPr>
          <w:rFonts w:ascii="Arial" w:eastAsia="Times New Roman" w:hAnsi="Arial" w:cs="Arial"/>
          <w:bCs/>
          <w:kern w:val="0"/>
          <w:lang w:val="es-MX" w:eastAsia="es-MX"/>
        </w:rPr>
      </w:pPr>
      <w:r w:rsidRPr="00A070C3">
        <w:rPr>
          <w:rFonts w:ascii="Arial" w:eastAsia="Times New Roman" w:hAnsi="Arial" w:cs="Arial"/>
          <w:b/>
          <w:kern w:val="0"/>
          <w:lang w:val="es-MX" w:eastAsia="es-MX"/>
        </w:rPr>
        <w:t>La recaída clínica</w:t>
      </w:r>
      <w:r w:rsidRPr="00A070C3">
        <w:rPr>
          <w:rFonts w:ascii="Arial" w:eastAsia="Times New Roman" w:hAnsi="Arial" w:cs="Arial"/>
          <w:bCs/>
          <w:kern w:val="0"/>
          <w:lang w:val="es-MX" w:eastAsia="es-MX"/>
        </w:rPr>
        <w:t xml:space="preserve"> </w:t>
      </w:r>
      <w:r w:rsidR="000E5C7F">
        <w:rPr>
          <w:rFonts w:ascii="Arial" w:eastAsia="Times New Roman" w:hAnsi="Arial" w:cs="Arial"/>
          <w:bCs/>
          <w:kern w:val="0"/>
          <w:lang w:val="es-MX" w:eastAsia="es-MX"/>
        </w:rPr>
        <w:t>s</w:t>
      </w:r>
      <w:r w:rsidR="000E5C7F" w:rsidRPr="000E5C7F">
        <w:rPr>
          <w:rFonts w:ascii="Arial" w:eastAsia="Times New Roman" w:hAnsi="Arial" w:cs="Arial"/>
          <w:bCs/>
          <w:kern w:val="0"/>
          <w:lang w:val="es-MX" w:eastAsia="es-MX"/>
        </w:rPr>
        <w:t>e definió como la presencia de signos hematológicos, clínicos o moleculares indicativos de progresión o reaparición de la enfermedad después de haber alcanzado la remisión completa tras la fase de inducción. Para evaluar esta variable, se realizó un seguimiento retrospectivo de hasta 500 días posteriores al inicio del tratamiento. La información fue recabada a través de la revisión de expedientes clínicos, informes de laboratorio y notas de evolución médica del servicio de hematología. Se registró si el paciente presentó o no recaída durante dicho periodo, clasificando esta variable como dicotómica (sí/no).</w:t>
      </w:r>
    </w:p>
    <w:p w14:paraId="52093ADE" w14:textId="06B2567D" w:rsidR="000E5C7F" w:rsidRPr="000E5C7F" w:rsidRDefault="000E5C7F" w:rsidP="000E5C7F">
      <w:pPr>
        <w:tabs>
          <w:tab w:val="left" w:pos="7938"/>
        </w:tabs>
        <w:spacing w:line="360" w:lineRule="auto"/>
        <w:jc w:val="both"/>
        <w:rPr>
          <w:rFonts w:ascii="Arial" w:hAnsi="Arial" w:cs="Arial"/>
          <w:lang w:val="es-MX"/>
        </w:rPr>
      </w:pPr>
      <w:r>
        <w:rPr>
          <w:rFonts w:ascii="Arial" w:eastAsia="Times New Roman" w:hAnsi="Arial" w:cs="Arial"/>
          <w:b/>
          <w:kern w:val="0"/>
          <w:lang w:val="es-MX" w:eastAsia="es-MX"/>
        </w:rPr>
        <w:t xml:space="preserve">El desempeño físico </w:t>
      </w:r>
      <w:r w:rsidRPr="000E5C7F">
        <w:rPr>
          <w:rFonts w:ascii="Arial" w:hAnsi="Arial" w:cs="Arial"/>
          <w:lang w:val="es-MX"/>
        </w:rPr>
        <w:t>se definió con base en los resultados obtenidos en cinco pruebas funcionales aplicadas al final de la intervención (</w:t>
      </w:r>
      <w:proofErr w:type="spellStart"/>
      <w:r w:rsidRPr="000E5C7F">
        <w:rPr>
          <w:rFonts w:ascii="Arial" w:hAnsi="Arial" w:cs="Arial"/>
          <w:lang w:val="es-MX"/>
        </w:rPr>
        <w:t>post-intervención</w:t>
      </w:r>
      <w:proofErr w:type="spellEnd"/>
      <w:r w:rsidRPr="000E5C7F">
        <w:rPr>
          <w:rFonts w:ascii="Arial" w:hAnsi="Arial" w:cs="Arial"/>
          <w:lang w:val="es-MX"/>
        </w:rPr>
        <w:t xml:space="preserve">): fuerza de prensión, prueba de abdominales en 30 segundos, prueba de caminata de 6 minutos, prueba de </w:t>
      </w:r>
      <w:proofErr w:type="spellStart"/>
      <w:r w:rsidRPr="000E5C7F">
        <w:rPr>
          <w:rFonts w:ascii="Arial" w:hAnsi="Arial" w:cs="Arial"/>
          <w:lang w:val="es-MX"/>
        </w:rPr>
        <w:t>Ruffier</w:t>
      </w:r>
      <w:proofErr w:type="spellEnd"/>
      <w:r w:rsidRPr="000E5C7F">
        <w:rPr>
          <w:rFonts w:ascii="Arial" w:hAnsi="Arial" w:cs="Arial"/>
          <w:lang w:val="es-MX"/>
        </w:rPr>
        <w:t>-Dickson y prueba de movilidad "</w:t>
      </w:r>
      <w:proofErr w:type="spellStart"/>
      <w:r w:rsidRPr="000E5C7F">
        <w:rPr>
          <w:rFonts w:ascii="Arial" w:hAnsi="Arial" w:cs="Arial"/>
          <w:lang w:val="es-MX"/>
        </w:rPr>
        <w:t>Get</w:t>
      </w:r>
      <w:proofErr w:type="spellEnd"/>
      <w:r w:rsidRPr="000E5C7F">
        <w:rPr>
          <w:rFonts w:ascii="Arial" w:hAnsi="Arial" w:cs="Arial"/>
          <w:lang w:val="es-MX"/>
        </w:rPr>
        <w:t xml:space="preserve"> Up and </w:t>
      </w:r>
      <w:proofErr w:type="spellStart"/>
      <w:r w:rsidRPr="000E5C7F">
        <w:rPr>
          <w:rFonts w:ascii="Arial" w:hAnsi="Arial" w:cs="Arial"/>
          <w:lang w:val="es-MX"/>
        </w:rPr>
        <w:t>Go</w:t>
      </w:r>
      <w:proofErr w:type="spellEnd"/>
      <w:r w:rsidRPr="000E5C7F">
        <w:rPr>
          <w:rFonts w:ascii="Arial" w:hAnsi="Arial" w:cs="Arial"/>
          <w:lang w:val="es-MX"/>
        </w:rPr>
        <w:t xml:space="preserve">" (GUG). Para cada prueba se clasificó </w:t>
      </w:r>
      <w:proofErr w:type="gramStart"/>
      <w:r w:rsidRPr="000E5C7F">
        <w:rPr>
          <w:rFonts w:ascii="Arial" w:hAnsi="Arial" w:cs="Arial"/>
          <w:lang w:val="es-MX"/>
        </w:rPr>
        <w:t>a</w:t>
      </w:r>
      <w:proofErr w:type="gramEnd"/>
      <w:r w:rsidRPr="000E5C7F">
        <w:rPr>
          <w:rFonts w:ascii="Arial" w:hAnsi="Arial" w:cs="Arial"/>
          <w:lang w:val="es-MX"/>
        </w:rPr>
        <w:t xml:space="preserve"> los pacientes como de "buen desempeño" si sus resultados estuvieron por encima de la media del grupo, o como de "mal desempeño" si estuvieron por debajo o igual a la media.</w:t>
      </w:r>
    </w:p>
    <w:p w14:paraId="2F8F4601" w14:textId="472448D7" w:rsidR="000E5C7F" w:rsidRPr="000E5C7F" w:rsidRDefault="000E5C7F" w:rsidP="000E5C7F">
      <w:pPr>
        <w:tabs>
          <w:tab w:val="left" w:pos="7938"/>
        </w:tabs>
        <w:spacing w:line="360" w:lineRule="auto"/>
        <w:jc w:val="both"/>
        <w:rPr>
          <w:rFonts w:ascii="Arial" w:eastAsia="Times New Roman" w:hAnsi="Arial" w:cs="Arial"/>
          <w:bCs/>
          <w:kern w:val="0"/>
          <w:lang w:val="es-MX" w:eastAsia="es-MX"/>
        </w:rPr>
      </w:pPr>
      <w:r w:rsidRPr="000E5C7F">
        <w:rPr>
          <w:rFonts w:ascii="Arial" w:hAnsi="Arial" w:cs="Arial"/>
          <w:lang w:val="es-MX"/>
        </w:rPr>
        <w:t xml:space="preserve">Posteriormente, se generó una variable global de desempeño físico de tipo dicotómica. Los pacientes fueron clasificados como de “buen desempeño global” si obtuvieron </w:t>
      </w:r>
      <w:r w:rsidRPr="000E5C7F">
        <w:rPr>
          <w:rFonts w:ascii="Arial" w:hAnsi="Arial" w:cs="Arial"/>
          <w:lang w:val="es-MX"/>
        </w:rPr>
        <w:lastRenderedPageBreak/>
        <w:t>buenos resultados en al menos tres de las cinco pruebas. En caso contrario, fueron clasificados como de “mal desempeño global”.</w:t>
      </w:r>
    </w:p>
    <w:p w14:paraId="51743E4D" w14:textId="4207AF29" w:rsidR="00AD4DE3" w:rsidRDefault="00AD4DE3" w:rsidP="00D9312C">
      <w:pPr>
        <w:spacing w:line="360" w:lineRule="auto"/>
        <w:jc w:val="both"/>
        <w:rPr>
          <w:rFonts w:ascii="Arial" w:hAnsi="Arial" w:cs="Arial"/>
          <w:b/>
          <w:bCs/>
          <w:lang w:val="es-MX"/>
        </w:rPr>
      </w:pPr>
      <w:r>
        <w:rPr>
          <w:rFonts w:ascii="Arial" w:hAnsi="Arial" w:cs="Arial"/>
          <w:b/>
          <w:bCs/>
          <w:lang w:val="es-MX"/>
        </w:rPr>
        <w:t>Seguimiento</w:t>
      </w:r>
    </w:p>
    <w:p w14:paraId="65FE671D" w14:textId="05A633D0" w:rsidR="00AD4DE3" w:rsidRPr="00AD4DE3" w:rsidRDefault="00AD4DE3" w:rsidP="00AD4DE3">
      <w:pPr>
        <w:spacing w:line="360" w:lineRule="auto"/>
        <w:jc w:val="both"/>
        <w:rPr>
          <w:rFonts w:ascii="Arial" w:hAnsi="Arial" w:cs="Arial"/>
          <w:lang w:val="es-MX"/>
        </w:rPr>
      </w:pPr>
      <w:r w:rsidRPr="00AD4DE3">
        <w:rPr>
          <w:rFonts w:ascii="Arial" w:hAnsi="Arial" w:cs="Arial"/>
          <w:lang w:val="es-MX"/>
        </w:rPr>
        <w:t>Como parte del protocolo original, los pacientes que participaron en el estudio fueron asignados aleatoriamente a uno de los grupos de intervención, recibiendo un programa de ejercicio físico supervisado durante su hospitalización, en paralelo a su esquema de quimioterapia estándar.</w:t>
      </w:r>
    </w:p>
    <w:p w14:paraId="3F4529E4" w14:textId="144F6E3A" w:rsidR="00AD4DE3" w:rsidRPr="00AD4DE3" w:rsidRDefault="00AD4DE3" w:rsidP="00AD4DE3">
      <w:pPr>
        <w:spacing w:line="360" w:lineRule="auto"/>
        <w:jc w:val="both"/>
        <w:rPr>
          <w:rFonts w:ascii="Arial" w:hAnsi="Arial" w:cs="Arial"/>
          <w:lang w:val="es-MX"/>
        </w:rPr>
      </w:pPr>
      <w:r w:rsidRPr="00AD4DE3">
        <w:rPr>
          <w:rFonts w:ascii="Arial" w:hAnsi="Arial" w:cs="Arial"/>
          <w:lang w:val="es-MX"/>
        </w:rPr>
        <w:t xml:space="preserve">El programa implementado correspondió a un esquema de entrenamiento de resistencia progresivo, el cual fue estructurado para adaptarse a las capacidades físicas de los pacientes oncohematológicos durante la fase de inducción a la remisión. Las rutinas se realizaron tres a cuatro veces por semana, con una intensidad progresiva, ajustada con base en el </w:t>
      </w:r>
      <w:r w:rsidR="00D33E22">
        <w:rPr>
          <w:rFonts w:ascii="Arial" w:hAnsi="Arial" w:cs="Arial"/>
          <w:lang w:val="es-MX"/>
        </w:rPr>
        <w:t>desempeño</w:t>
      </w:r>
      <w:r w:rsidRPr="00AD4DE3">
        <w:rPr>
          <w:rFonts w:ascii="Arial" w:hAnsi="Arial" w:cs="Arial"/>
          <w:lang w:val="es-MX"/>
        </w:rPr>
        <w:t xml:space="preserve"> inicial medido mediante la caminata de seis minutos y la prueba de “Levántate y anda”.</w:t>
      </w:r>
    </w:p>
    <w:p w14:paraId="4776AD09" w14:textId="2AA27D4F" w:rsidR="00AD4DE3" w:rsidRPr="00AD4DE3" w:rsidRDefault="00AD4DE3" w:rsidP="00AD4DE3">
      <w:pPr>
        <w:spacing w:line="360" w:lineRule="auto"/>
        <w:jc w:val="both"/>
        <w:rPr>
          <w:rFonts w:ascii="Arial" w:hAnsi="Arial" w:cs="Arial"/>
          <w:lang w:val="es-MX"/>
        </w:rPr>
      </w:pPr>
      <w:r w:rsidRPr="00AD4DE3">
        <w:rPr>
          <w:rFonts w:ascii="Arial" w:hAnsi="Arial" w:cs="Arial"/>
          <w:lang w:val="es-MX"/>
        </w:rPr>
        <w:t>Cada sesión estuvo conformada por tres fases principales:</w:t>
      </w:r>
    </w:p>
    <w:p w14:paraId="5A5E8110" w14:textId="36AE1618" w:rsidR="00AD4DE3" w:rsidRPr="00AD4DE3" w:rsidRDefault="00AD4DE3" w:rsidP="00AD4DE3">
      <w:pPr>
        <w:spacing w:line="360" w:lineRule="auto"/>
        <w:jc w:val="both"/>
        <w:rPr>
          <w:rFonts w:ascii="Arial" w:hAnsi="Arial" w:cs="Arial"/>
          <w:lang w:val="es-MX"/>
        </w:rPr>
      </w:pPr>
      <w:r w:rsidRPr="00AD4DE3">
        <w:rPr>
          <w:rFonts w:ascii="Arial" w:hAnsi="Arial" w:cs="Arial"/>
          <w:b/>
          <w:bCs/>
          <w:lang w:val="es-MX"/>
        </w:rPr>
        <w:t>Calentamiento articular y movilidad general:</w:t>
      </w:r>
      <w:r w:rsidRPr="00AD4DE3">
        <w:rPr>
          <w:rFonts w:ascii="Arial" w:hAnsi="Arial" w:cs="Arial"/>
          <w:lang w:val="es-MX"/>
        </w:rPr>
        <w:t xml:space="preserve"> Incluyó ejercicios activos de cuello, hombros, brazos, tronco, cadera, rodillas y tobillos, con el objetivo de preparar al paciente física y neuromuscularmente para el esfuerzo principal.</w:t>
      </w:r>
    </w:p>
    <w:p w14:paraId="2DE6E868" w14:textId="558A2026" w:rsidR="00AD4DE3" w:rsidRPr="00AD4DE3" w:rsidRDefault="00AD4DE3" w:rsidP="00AD4DE3">
      <w:pPr>
        <w:spacing w:line="360" w:lineRule="auto"/>
        <w:jc w:val="both"/>
        <w:rPr>
          <w:rFonts w:ascii="Arial" w:hAnsi="Arial" w:cs="Arial"/>
          <w:lang w:val="es-MX"/>
        </w:rPr>
      </w:pPr>
      <w:r w:rsidRPr="00AD4DE3">
        <w:rPr>
          <w:rFonts w:ascii="Arial" w:hAnsi="Arial" w:cs="Arial"/>
          <w:b/>
          <w:bCs/>
          <w:lang w:val="es-MX"/>
        </w:rPr>
        <w:t xml:space="preserve">Fase </w:t>
      </w:r>
      <w:r>
        <w:rPr>
          <w:rFonts w:ascii="Arial" w:hAnsi="Arial" w:cs="Arial"/>
          <w:b/>
          <w:bCs/>
          <w:lang w:val="es-MX"/>
        </w:rPr>
        <w:t>medular</w:t>
      </w:r>
      <w:r w:rsidRPr="00AD4DE3">
        <w:rPr>
          <w:rFonts w:ascii="Arial" w:hAnsi="Arial" w:cs="Arial"/>
          <w:b/>
          <w:bCs/>
          <w:lang w:val="es-MX"/>
        </w:rPr>
        <w:t>:</w:t>
      </w:r>
      <w:r w:rsidRPr="00AD4DE3">
        <w:rPr>
          <w:rFonts w:ascii="Arial" w:hAnsi="Arial" w:cs="Arial"/>
          <w:lang w:val="es-MX"/>
        </w:rPr>
        <w:t xml:space="preserve"> Esta etapa se enfocó en ejercicios </w:t>
      </w:r>
      <w:r>
        <w:rPr>
          <w:rFonts w:ascii="Arial" w:hAnsi="Arial" w:cs="Arial"/>
          <w:lang w:val="es-MX"/>
        </w:rPr>
        <w:t xml:space="preserve">como </w:t>
      </w:r>
      <w:r w:rsidRPr="00AD4DE3">
        <w:rPr>
          <w:rFonts w:ascii="Arial" w:hAnsi="Arial" w:cs="Arial"/>
          <w:lang w:val="es-MX"/>
        </w:rPr>
        <w:t xml:space="preserve">flexiones de bíceps, extensiones de tríceps, sentadillas, </w:t>
      </w:r>
      <w:proofErr w:type="spellStart"/>
      <w:r w:rsidRPr="00AD4DE3">
        <w:rPr>
          <w:rFonts w:ascii="Arial" w:hAnsi="Arial" w:cs="Arial"/>
          <w:lang w:val="es-MX"/>
        </w:rPr>
        <w:t>press</w:t>
      </w:r>
      <w:proofErr w:type="spellEnd"/>
      <w:r w:rsidRPr="00AD4DE3">
        <w:rPr>
          <w:rFonts w:ascii="Arial" w:hAnsi="Arial" w:cs="Arial"/>
          <w:lang w:val="es-MX"/>
        </w:rPr>
        <w:t xml:space="preserve"> de hombro y puentes de </w:t>
      </w:r>
      <w:proofErr w:type="spellStart"/>
      <w:r w:rsidRPr="00AD4DE3">
        <w:rPr>
          <w:rFonts w:ascii="Arial" w:hAnsi="Arial" w:cs="Arial"/>
          <w:lang w:val="es-MX"/>
        </w:rPr>
        <w:t>glúteo.con</w:t>
      </w:r>
      <w:proofErr w:type="spellEnd"/>
      <w:r w:rsidRPr="00AD4DE3">
        <w:rPr>
          <w:rFonts w:ascii="Arial" w:hAnsi="Arial" w:cs="Arial"/>
          <w:lang w:val="es-MX"/>
        </w:rPr>
        <w:t xml:space="preserve"> mancuernas, peso corporal o bandas elásticas, adaptados al nivel funcional del paciente (de pie, sentado o encamado)</w:t>
      </w:r>
      <w:r>
        <w:rPr>
          <w:rFonts w:ascii="Arial" w:hAnsi="Arial" w:cs="Arial"/>
          <w:lang w:val="es-MX"/>
        </w:rPr>
        <w:t xml:space="preserve"> para el grupo de ejercicio de resistencia, mientras que para el ejercicio cruzado se incluyeron ejercicios como lagartijas, movimientos articulares con tubo de PVC, sentadillas, desplantes y trabajo del </w:t>
      </w:r>
      <w:proofErr w:type="spellStart"/>
      <w:r>
        <w:rPr>
          <w:rFonts w:ascii="Arial" w:hAnsi="Arial" w:cs="Arial"/>
          <w:lang w:val="es-MX"/>
        </w:rPr>
        <w:t>core</w:t>
      </w:r>
      <w:proofErr w:type="spellEnd"/>
      <w:r w:rsidRPr="00AD4DE3">
        <w:rPr>
          <w:rFonts w:ascii="Arial" w:hAnsi="Arial" w:cs="Arial"/>
          <w:lang w:val="es-MX"/>
        </w:rPr>
        <w:t>.</w:t>
      </w:r>
    </w:p>
    <w:p w14:paraId="4750AE67" w14:textId="08C05735" w:rsidR="00AD4DE3" w:rsidRPr="00AD4DE3" w:rsidRDefault="00AD4DE3" w:rsidP="00AD4DE3">
      <w:pPr>
        <w:spacing w:line="360" w:lineRule="auto"/>
        <w:jc w:val="both"/>
        <w:rPr>
          <w:rFonts w:ascii="Arial" w:hAnsi="Arial" w:cs="Arial"/>
          <w:lang w:val="es-MX"/>
        </w:rPr>
      </w:pPr>
      <w:r w:rsidRPr="00AD4DE3">
        <w:rPr>
          <w:rFonts w:ascii="Arial" w:hAnsi="Arial" w:cs="Arial"/>
          <w:b/>
          <w:bCs/>
          <w:lang w:val="es-MX"/>
        </w:rPr>
        <w:t>Vuelta a la calma y estiramientos:</w:t>
      </w:r>
      <w:r w:rsidRPr="00AD4DE3">
        <w:rPr>
          <w:rFonts w:ascii="Arial" w:hAnsi="Arial" w:cs="Arial"/>
          <w:lang w:val="es-MX"/>
        </w:rPr>
        <w:t xml:space="preserve"> Se realizaron ejercicios de elongación muscular y respiración consciente para facilitar la recuperación y prevenir molestias posteriores.</w:t>
      </w:r>
    </w:p>
    <w:p w14:paraId="3E867DC1" w14:textId="497D4592" w:rsidR="004632DA" w:rsidRDefault="00AD4DE3" w:rsidP="000E5C7F">
      <w:pPr>
        <w:spacing w:line="360" w:lineRule="auto"/>
        <w:jc w:val="both"/>
        <w:rPr>
          <w:rFonts w:ascii="Arial" w:hAnsi="Arial" w:cs="Arial"/>
          <w:lang w:val="es-MX"/>
        </w:rPr>
      </w:pPr>
      <w:r w:rsidRPr="00AD4DE3">
        <w:rPr>
          <w:rFonts w:ascii="Arial" w:hAnsi="Arial" w:cs="Arial"/>
          <w:lang w:val="es-MX"/>
        </w:rPr>
        <w:t xml:space="preserve">El progreso y respuesta de los pacientes fue monitoreado durante toda la intervención. La duración del programa estuvo determinada por el tiempo de hospitalización durante el tratamiento de inducción, y las pruebas de </w:t>
      </w:r>
      <w:r w:rsidR="00D33E22">
        <w:rPr>
          <w:rFonts w:ascii="Arial" w:hAnsi="Arial" w:cs="Arial"/>
          <w:lang w:val="es-MX"/>
        </w:rPr>
        <w:t>desempeño</w:t>
      </w:r>
      <w:r w:rsidRPr="00AD4DE3">
        <w:rPr>
          <w:rFonts w:ascii="Arial" w:hAnsi="Arial" w:cs="Arial"/>
          <w:lang w:val="es-MX"/>
        </w:rPr>
        <w:t xml:space="preserve"> físico fueron aplicadas </w:t>
      </w:r>
    </w:p>
    <w:p w14:paraId="50440CDB" w14:textId="4E208AA8" w:rsidR="00E74394" w:rsidRPr="00654E09" w:rsidRDefault="00E74394" w:rsidP="00D9312C">
      <w:pPr>
        <w:spacing w:line="360" w:lineRule="auto"/>
        <w:jc w:val="both"/>
        <w:rPr>
          <w:rFonts w:ascii="Arial" w:hAnsi="Arial" w:cs="Arial"/>
          <w:b/>
          <w:bCs/>
          <w:highlight w:val="yellow"/>
          <w:lang w:val="es-MX"/>
        </w:rPr>
      </w:pPr>
      <w:r w:rsidRPr="0094257D">
        <w:rPr>
          <w:rFonts w:ascii="Arial" w:hAnsi="Arial" w:cs="Arial"/>
          <w:b/>
          <w:bCs/>
          <w:lang w:val="es-MX"/>
        </w:rPr>
        <w:lastRenderedPageBreak/>
        <w:tab/>
      </w:r>
      <w:r w:rsidRPr="00FE4BFC">
        <w:rPr>
          <w:rFonts w:ascii="Arial" w:hAnsi="Arial" w:cs="Arial"/>
          <w:b/>
          <w:bCs/>
          <w:lang w:val="es-MX"/>
        </w:rPr>
        <w:t>Variables del estudio</w:t>
      </w:r>
    </w:p>
    <w:p w14:paraId="71BF945F" w14:textId="22655DDC" w:rsidR="002E49D6" w:rsidRPr="002E49D6" w:rsidRDefault="002E49D6" w:rsidP="002E49D6">
      <w:pPr>
        <w:pStyle w:val="Caption"/>
        <w:keepNext/>
        <w:rPr>
          <w:rFonts w:ascii="Arial" w:hAnsi="Arial" w:cs="Arial"/>
          <w:b/>
          <w:bCs/>
          <w:i w:val="0"/>
          <w:iCs w:val="0"/>
          <w:color w:val="auto"/>
          <w:sz w:val="24"/>
          <w:szCs w:val="24"/>
        </w:rPr>
      </w:pPr>
      <w:r w:rsidRPr="002E49D6">
        <w:rPr>
          <w:rFonts w:ascii="Arial" w:hAnsi="Arial" w:cs="Arial"/>
          <w:b/>
          <w:bCs/>
          <w:i w:val="0"/>
          <w:iCs w:val="0"/>
          <w:color w:val="auto"/>
          <w:sz w:val="24"/>
          <w:szCs w:val="24"/>
        </w:rPr>
        <w:t xml:space="preserve">Tabla </w:t>
      </w:r>
      <w:r w:rsidRPr="002E49D6">
        <w:rPr>
          <w:rFonts w:ascii="Arial" w:hAnsi="Arial" w:cs="Arial"/>
          <w:b/>
          <w:bCs/>
          <w:i w:val="0"/>
          <w:iCs w:val="0"/>
          <w:color w:val="auto"/>
          <w:sz w:val="24"/>
          <w:szCs w:val="24"/>
        </w:rPr>
        <w:fldChar w:fldCharType="begin"/>
      </w:r>
      <w:r w:rsidRPr="002E49D6">
        <w:rPr>
          <w:rFonts w:ascii="Arial" w:hAnsi="Arial" w:cs="Arial"/>
          <w:b/>
          <w:bCs/>
          <w:i w:val="0"/>
          <w:iCs w:val="0"/>
          <w:color w:val="auto"/>
          <w:sz w:val="24"/>
          <w:szCs w:val="24"/>
        </w:rPr>
        <w:instrText xml:space="preserve"> SEQ Tabla \* ARABIC </w:instrText>
      </w:r>
      <w:r w:rsidRPr="002E49D6">
        <w:rPr>
          <w:rFonts w:ascii="Arial" w:hAnsi="Arial" w:cs="Arial"/>
          <w:b/>
          <w:bCs/>
          <w:i w:val="0"/>
          <w:iCs w:val="0"/>
          <w:color w:val="auto"/>
          <w:sz w:val="24"/>
          <w:szCs w:val="24"/>
        </w:rPr>
        <w:fldChar w:fldCharType="separate"/>
      </w:r>
      <w:r w:rsidR="00026D67">
        <w:rPr>
          <w:rFonts w:ascii="Arial" w:hAnsi="Arial" w:cs="Arial"/>
          <w:b/>
          <w:bCs/>
          <w:i w:val="0"/>
          <w:iCs w:val="0"/>
          <w:noProof/>
          <w:color w:val="auto"/>
          <w:sz w:val="24"/>
          <w:szCs w:val="24"/>
        </w:rPr>
        <w:t>1</w:t>
      </w:r>
      <w:r w:rsidRPr="002E49D6">
        <w:rPr>
          <w:rFonts w:ascii="Arial" w:hAnsi="Arial" w:cs="Arial"/>
          <w:b/>
          <w:bCs/>
          <w:i w:val="0"/>
          <w:iCs w:val="0"/>
          <w:color w:val="auto"/>
          <w:sz w:val="24"/>
          <w:szCs w:val="24"/>
        </w:rPr>
        <w:fldChar w:fldCharType="end"/>
      </w:r>
      <w:r w:rsidRPr="002E49D6">
        <w:rPr>
          <w:rFonts w:ascii="Arial" w:hAnsi="Arial" w:cs="Arial"/>
          <w:b/>
          <w:bCs/>
          <w:i w:val="0"/>
          <w:iCs w:val="0"/>
          <w:color w:val="auto"/>
          <w:sz w:val="24"/>
          <w:szCs w:val="24"/>
        </w:rPr>
        <w:t>. Variables de estudio dependientes</w:t>
      </w:r>
    </w:p>
    <w:tbl>
      <w:tblPr>
        <w:tblStyle w:val="PlainTable4"/>
        <w:tblW w:w="5429" w:type="pct"/>
        <w:tblLayout w:type="fixed"/>
        <w:tblLook w:val="04A0" w:firstRow="1" w:lastRow="0" w:firstColumn="1" w:lastColumn="0" w:noHBand="0" w:noVBand="1"/>
      </w:tblPr>
      <w:tblGrid>
        <w:gridCol w:w="1747"/>
        <w:gridCol w:w="5886"/>
        <w:gridCol w:w="1335"/>
        <w:gridCol w:w="1195"/>
      </w:tblGrid>
      <w:tr w:rsidR="000C3D4F" w:rsidRPr="009A00DB" w14:paraId="796C9827" w14:textId="77777777" w:rsidTr="00905C6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vAlign w:val="center"/>
          </w:tcPr>
          <w:p w14:paraId="6C837FC2" w14:textId="3CC7A24A" w:rsidR="000C3D4F" w:rsidRPr="009A00DB" w:rsidRDefault="000C3D4F" w:rsidP="000C3D4F">
            <w:pPr>
              <w:rPr>
                <w:rFonts w:ascii="Arial" w:hAnsi="Arial" w:cs="Arial"/>
                <w:color w:val="000000"/>
                <w:sz w:val="18"/>
                <w:szCs w:val="18"/>
              </w:rPr>
            </w:pPr>
            <w:proofErr w:type="spellStart"/>
            <w:r w:rsidRPr="009A00DB">
              <w:rPr>
                <w:rFonts w:ascii="Arial" w:hAnsi="Arial" w:cs="Arial"/>
                <w:sz w:val="18"/>
                <w:szCs w:val="18"/>
              </w:rPr>
              <w:t>Edad</w:t>
            </w:r>
            <w:proofErr w:type="spellEnd"/>
          </w:p>
        </w:tc>
        <w:tc>
          <w:tcPr>
            <w:tcW w:w="2896" w:type="pct"/>
            <w:vAlign w:val="center"/>
          </w:tcPr>
          <w:p w14:paraId="0BC93216" w14:textId="51A9CA1F" w:rsidR="000C3D4F" w:rsidRPr="009A00DB" w:rsidRDefault="000C3D4F" w:rsidP="000C3D4F">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sidRPr="009A00DB">
              <w:rPr>
                <w:rFonts w:ascii="Arial" w:hAnsi="Arial" w:cs="Arial"/>
                <w:color w:val="000000"/>
                <w:sz w:val="18"/>
                <w:szCs w:val="18"/>
                <w:lang w:val="es-MX"/>
              </w:rPr>
              <w:t>Tiempo que ha vivido una persona en años contando desde su nacimiento.</w:t>
            </w:r>
          </w:p>
        </w:tc>
        <w:tc>
          <w:tcPr>
            <w:tcW w:w="657" w:type="pct"/>
            <w:vAlign w:val="center"/>
          </w:tcPr>
          <w:p w14:paraId="79BBEDE9" w14:textId="77777777" w:rsidR="000C3D4F" w:rsidRPr="009A00DB" w:rsidRDefault="000C3D4F" w:rsidP="000C3D4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9A00DB">
              <w:rPr>
                <w:rFonts w:ascii="Arial" w:hAnsi="Arial" w:cs="Arial"/>
                <w:sz w:val="18"/>
                <w:szCs w:val="18"/>
              </w:rPr>
              <w:t>Cuantitativa</w:t>
            </w:r>
            <w:proofErr w:type="spellEnd"/>
          </w:p>
          <w:p w14:paraId="40932C2A" w14:textId="39A2FE01" w:rsidR="000C3D4F" w:rsidRDefault="000C3D4F" w:rsidP="000C3D4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MX"/>
              </w:rPr>
            </w:pPr>
            <w:proofErr w:type="spellStart"/>
            <w:r w:rsidRPr="009A00DB">
              <w:rPr>
                <w:rFonts w:ascii="Arial" w:hAnsi="Arial" w:cs="Arial"/>
                <w:sz w:val="18"/>
                <w:szCs w:val="18"/>
              </w:rPr>
              <w:t>discreta</w:t>
            </w:r>
            <w:proofErr w:type="spellEnd"/>
          </w:p>
        </w:tc>
        <w:tc>
          <w:tcPr>
            <w:tcW w:w="588" w:type="pct"/>
            <w:vAlign w:val="center"/>
          </w:tcPr>
          <w:p w14:paraId="69122D9C" w14:textId="3CF737AB" w:rsidR="000C3D4F" w:rsidRPr="009A00DB" w:rsidRDefault="000C3D4F" w:rsidP="000C3D4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sz w:val="18"/>
                <w:szCs w:val="18"/>
              </w:rPr>
              <w:t>Años</w:t>
            </w:r>
            <w:proofErr w:type="spellEnd"/>
            <w:r w:rsidRPr="009A00DB">
              <w:rPr>
                <w:rFonts w:ascii="Arial" w:hAnsi="Arial" w:cs="Arial"/>
                <w:sz w:val="18"/>
                <w:szCs w:val="18"/>
              </w:rPr>
              <w:t xml:space="preserve"> </w:t>
            </w:r>
            <w:proofErr w:type="spellStart"/>
            <w:r w:rsidRPr="009A00DB">
              <w:rPr>
                <w:rFonts w:ascii="Arial" w:hAnsi="Arial" w:cs="Arial"/>
                <w:sz w:val="18"/>
                <w:szCs w:val="18"/>
              </w:rPr>
              <w:t>cumplidos</w:t>
            </w:r>
            <w:proofErr w:type="spellEnd"/>
          </w:p>
        </w:tc>
      </w:tr>
      <w:tr w:rsidR="000C3D4F" w:rsidRPr="009A00DB" w14:paraId="08FF62F3" w14:textId="77777777" w:rsidTr="00905C6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vAlign w:val="center"/>
          </w:tcPr>
          <w:p w14:paraId="591CAC70" w14:textId="731F63A6" w:rsidR="000C3D4F" w:rsidRPr="009A00DB" w:rsidRDefault="000C3D4F" w:rsidP="000C3D4F">
            <w:pPr>
              <w:rPr>
                <w:rFonts w:ascii="Arial" w:hAnsi="Arial" w:cs="Arial"/>
                <w:color w:val="000000"/>
                <w:sz w:val="18"/>
                <w:szCs w:val="18"/>
              </w:rPr>
            </w:pPr>
            <w:proofErr w:type="spellStart"/>
            <w:r w:rsidRPr="009A00DB">
              <w:rPr>
                <w:rFonts w:ascii="Arial" w:hAnsi="Arial" w:cs="Arial"/>
                <w:sz w:val="18"/>
                <w:szCs w:val="18"/>
              </w:rPr>
              <w:t>Sexo</w:t>
            </w:r>
            <w:proofErr w:type="spellEnd"/>
          </w:p>
        </w:tc>
        <w:tc>
          <w:tcPr>
            <w:tcW w:w="2896" w:type="pct"/>
            <w:vAlign w:val="center"/>
          </w:tcPr>
          <w:p w14:paraId="3C1026EB" w14:textId="163ED0EB" w:rsidR="000C3D4F" w:rsidRPr="009A00DB" w:rsidRDefault="000C3D4F" w:rsidP="000C3D4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sidRPr="009A00DB">
              <w:rPr>
                <w:rFonts w:ascii="Arial" w:hAnsi="Arial" w:cs="Arial"/>
                <w:color w:val="000000"/>
                <w:sz w:val="18"/>
                <w:szCs w:val="18"/>
                <w:lang w:val="es-MX"/>
              </w:rPr>
              <w:t>Conjunto de las peculiaridades que caracterizan a los individuos dividiéndolos en masculinos y femeninos observados durante la consulta.</w:t>
            </w:r>
          </w:p>
        </w:tc>
        <w:tc>
          <w:tcPr>
            <w:tcW w:w="657" w:type="pct"/>
            <w:vAlign w:val="center"/>
          </w:tcPr>
          <w:p w14:paraId="02E1735C"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9A00DB">
              <w:rPr>
                <w:rFonts w:ascii="Arial" w:hAnsi="Arial" w:cs="Arial"/>
                <w:sz w:val="18"/>
                <w:szCs w:val="18"/>
              </w:rPr>
              <w:t>Cualitativa</w:t>
            </w:r>
            <w:proofErr w:type="spellEnd"/>
          </w:p>
          <w:p w14:paraId="52B1E43B" w14:textId="673E8E6F" w:rsidR="000C3D4F" w:rsidRDefault="00570DB1"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Pr>
                <w:rFonts w:ascii="Arial" w:hAnsi="Arial" w:cs="Arial"/>
                <w:sz w:val="18"/>
                <w:szCs w:val="18"/>
                <w:lang w:val="es-MX"/>
              </w:rPr>
              <w:t>Dicotómica</w:t>
            </w:r>
          </w:p>
        </w:tc>
        <w:tc>
          <w:tcPr>
            <w:tcW w:w="588" w:type="pct"/>
            <w:vAlign w:val="center"/>
          </w:tcPr>
          <w:p w14:paraId="61F5D930"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00DB">
              <w:rPr>
                <w:rFonts w:ascii="Arial" w:hAnsi="Arial" w:cs="Arial"/>
                <w:sz w:val="18"/>
                <w:szCs w:val="18"/>
              </w:rPr>
              <w:t xml:space="preserve">0= </w:t>
            </w:r>
            <w:proofErr w:type="spellStart"/>
            <w:r w:rsidRPr="009A00DB">
              <w:rPr>
                <w:rFonts w:ascii="Arial" w:hAnsi="Arial" w:cs="Arial"/>
                <w:sz w:val="18"/>
                <w:szCs w:val="18"/>
              </w:rPr>
              <w:t>Mujer</w:t>
            </w:r>
            <w:proofErr w:type="spellEnd"/>
          </w:p>
          <w:p w14:paraId="0D8D83A1" w14:textId="2F99EC91"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A00DB">
              <w:rPr>
                <w:rFonts w:ascii="Arial" w:hAnsi="Arial" w:cs="Arial"/>
                <w:sz w:val="18"/>
                <w:szCs w:val="18"/>
              </w:rPr>
              <w:t>1= Hombre</w:t>
            </w:r>
          </w:p>
        </w:tc>
      </w:tr>
      <w:tr w:rsidR="000C3D4F" w:rsidRPr="009A00DB" w14:paraId="0C752C45" w14:textId="77777777" w:rsidTr="000C3D4F">
        <w:trPr>
          <w:trHeight w:val="283"/>
        </w:trPr>
        <w:tc>
          <w:tcPr>
            <w:cnfStyle w:val="001000000000" w:firstRow="0" w:lastRow="0" w:firstColumn="1" w:lastColumn="0" w:oddVBand="0" w:evenVBand="0" w:oddHBand="0" w:evenHBand="0" w:firstRowFirstColumn="0" w:firstRowLastColumn="0" w:lastRowFirstColumn="0" w:lastRowLastColumn="0"/>
            <w:tcW w:w="859" w:type="pct"/>
          </w:tcPr>
          <w:p w14:paraId="568D6DF3" w14:textId="77777777" w:rsidR="000C3D4F" w:rsidRPr="009A00DB" w:rsidRDefault="000C3D4F" w:rsidP="000C3D4F">
            <w:pPr>
              <w:rPr>
                <w:rFonts w:ascii="Arial" w:hAnsi="Arial" w:cs="Arial"/>
                <w:color w:val="000000"/>
                <w:sz w:val="18"/>
                <w:szCs w:val="18"/>
              </w:rPr>
            </w:pPr>
            <w:bookmarkStart w:id="9" w:name="_Hlk82363268"/>
            <w:r w:rsidRPr="009A00DB">
              <w:rPr>
                <w:rFonts w:ascii="Arial" w:hAnsi="Arial" w:cs="Arial"/>
                <w:color w:val="000000"/>
                <w:sz w:val="18"/>
                <w:szCs w:val="18"/>
              </w:rPr>
              <w:t xml:space="preserve">Distancia de </w:t>
            </w:r>
            <w:proofErr w:type="spellStart"/>
            <w:r w:rsidRPr="009A00DB">
              <w:rPr>
                <w:rFonts w:ascii="Arial" w:hAnsi="Arial" w:cs="Arial"/>
                <w:color w:val="000000"/>
                <w:sz w:val="18"/>
                <w:szCs w:val="18"/>
              </w:rPr>
              <w:t>desplazamiento</w:t>
            </w:r>
            <w:proofErr w:type="spellEnd"/>
          </w:p>
        </w:tc>
        <w:tc>
          <w:tcPr>
            <w:tcW w:w="2896" w:type="pct"/>
          </w:tcPr>
          <w:p w14:paraId="0ABFE2AA" w14:textId="77777777" w:rsidR="000C3D4F" w:rsidRPr="009A00DB" w:rsidRDefault="000C3D4F" w:rsidP="000C3D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sidRPr="009A00DB">
              <w:rPr>
                <w:rFonts w:ascii="Arial" w:hAnsi="Arial" w:cs="Arial"/>
                <w:color w:val="000000"/>
                <w:sz w:val="18"/>
                <w:szCs w:val="18"/>
                <w:lang w:val="es-MX"/>
              </w:rPr>
              <w:t>Es la distancia máxima recorrida de un espacio determinado en el menor tiempo posible a la máxima velocidad de desplazamiento posible.</w:t>
            </w:r>
          </w:p>
        </w:tc>
        <w:tc>
          <w:tcPr>
            <w:tcW w:w="657" w:type="pct"/>
            <w:vMerge w:val="restart"/>
          </w:tcPr>
          <w:p w14:paraId="7E674FFF" w14:textId="07EF5AF4"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Pr>
                <w:rFonts w:ascii="Arial" w:hAnsi="Arial" w:cs="Arial"/>
                <w:sz w:val="18"/>
                <w:szCs w:val="18"/>
                <w:lang w:val="es-MX"/>
              </w:rPr>
              <w:t>Cuantitativa continua</w:t>
            </w:r>
          </w:p>
        </w:tc>
        <w:tc>
          <w:tcPr>
            <w:tcW w:w="588" w:type="pct"/>
          </w:tcPr>
          <w:p w14:paraId="5C74EB56" w14:textId="77777777"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A00DB">
              <w:rPr>
                <w:rFonts w:ascii="Arial" w:hAnsi="Arial" w:cs="Arial"/>
                <w:color w:val="000000"/>
                <w:sz w:val="18"/>
                <w:szCs w:val="18"/>
              </w:rPr>
              <w:t>Metros</w:t>
            </w:r>
          </w:p>
        </w:tc>
      </w:tr>
      <w:tr w:rsidR="000C3D4F" w:rsidRPr="009A00DB" w14:paraId="3681D788" w14:textId="77777777" w:rsidTr="000C3D4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tcPr>
          <w:p w14:paraId="0630075F" w14:textId="77777777" w:rsidR="000C3D4F" w:rsidRPr="009A00DB" w:rsidRDefault="000C3D4F" w:rsidP="000C3D4F">
            <w:pPr>
              <w:rPr>
                <w:rFonts w:ascii="Arial" w:hAnsi="Arial" w:cs="Arial"/>
                <w:color w:val="000000"/>
                <w:sz w:val="18"/>
                <w:szCs w:val="18"/>
              </w:rPr>
            </w:pPr>
            <w:proofErr w:type="spellStart"/>
            <w:r w:rsidRPr="009A00DB">
              <w:rPr>
                <w:rFonts w:ascii="Arial" w:hAnsi="Arial" w:cs="Arial"/>
                <w:color w:val="000000"/>
                <w:sz w:val="18"/>
                <w:szCs w:val="18"/>
              </w:rPr>
              <w:t>Velocidad</w:t>
            </w:r>
            <w:proofErr w:type="spellEnd"/>
            <w:r w:rsidRPr="009A00DB">
              <w:rPr>
                <w:rFonts w:ascii="Arial" w:hAnsi="Arial" w:cs="Arial"/>
                <w:color w:val="000000"/>
                <w:sz w:val="18"/>
                <w:szCs w:val="18"/>
              </w:rPr>
              <w:t xml:space="preserve"> de </w:t>
            </w:r>
            <w:proofErr w:type="spellStart"/>
            <w:r w:rsidRPr="009A00DB">
              <w:rPr>
                <w:rFonts w:ascii="Arial" w:hAnsi="Arial" w:cs="Arial"/>
                <w:color w:val="000000"/>
                <w:sz w:val="18"/>
                <w:szCs w:val="18"/>
              </w:rPr>
              <w:t>desplazamiento</w:t>
            </w:r>
            <w:proofErr w:type="spellEnd"/>
          </w:p>
        </w:tc>
        <w:tc>
          <w:tcPr>
            <w:tcW w:w="2896" w:type="pct"/>
          </w:tcPr>
          <w:p w14:paraId="7B9772BE" w14:textId="77777777" w:rsidR="000C3D4F" w:rsidRPr="009A00DB" w:rsidRDefault="000C3D4F" w:rsidP="000C3D4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sidRPr="009A00DB">
              <w:rPr>
                <w:rFonts w:ascii="Arial" w:hAnsi="Arial" w:cs="Arial"/>
                <w:color w:val="000000"/>
                <w:sz w:val="18"/>
                <w:szCs w:val="18"/>
                <w:lang w:val="es-MX"/>
              </w:rPr>
              <w:t>Es la máxima capacidad de desplazamiento de un sujeto, manteniendo la máxima velocidad, en un espacio determinado en el mejor tiempo posible.</w:t>
            </w:r>
          </w:p>
        </w:tc>
        <w:tc>
          <w:tcPr>
            <w:tcW w:w="657" w:type="pct"/>
            <w:vMerge/>
          </w:tcPr>
          <w:p w14:paraId="7C19DBCE"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
        </w:tc>
        <w:tc>
          <w:tcPr>
            <w:tcW w:w="588" w:type="pct"/>
          </w:tcPr>
          <w:p w14:paraId="0712668D"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A00DB">
              <w:rPr>
                <w:rFonts w:ascii="Arial" w:hAnsi="Arial" w:cs="Arial"/>
                <w:color w:val="000000"/>
                <w:sz w:val="18"/>
                <w:szCs w:val="18"/>
              </w:rPr>
              <w:t>Metro/</w:t>
            </w:r>
          </w:p>
          <w:p w14:paraId="67F4D44F"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color w:val="000000"/>
                <w:sz w:val="18"/>
                <w:szCs w:val="18"/>
              </w:rPr>
              <w:t>segundo</w:t>
            </w:r>
            <w:proofErr w:type="spellEnd"/>
          </w:p>
        </w:tc>
      </w:tr>
      <w:tr w:rsidR="000C3D4F" w:rsidRPr="009A00DB" w14:paraId="66605DF0" w14:textId="77777777" w:rsidTr="000C3D4F">
        <w:trPr>
          <w:trHeight w:val="283"/>
        </w:trPr>
        <w:tc>
          <w:tcPr>
            <w:cnfStyle w:val="001000000000" w:firstRow="0" w:lastRow="0" w:firstColumn="1" w:lastColumn="0" w:oddVBand="0" w:evenVBand="0" w:oddHBand="0" w:evenHBand="0" w:firstRowFirstColumn="0" w:firstRowLastColumn="0" w:lastRowFirstColumn="0" w:lastRowLastColumn="0"/>
            <w:tcW w:w="859" w:type="pct"/>
          </w:tcPr>
          <w:p w14:paraId="2E364769" w14:textId="77777777" w:rsidR="000C3D4F" w:rsidRPr="009A00DB" w:rsidRDefault="000C3D4F" w:rsidP="000C3D4F">
            <w:pPr>
              <w:rPr>
                <w:rFonts w:ascii="Arial" w:hAnsi="Arial" w:cs="Arial"/>
                <w:color w:val="000000"/>
                <w:sz w:val="18"/>
                <w:szCs w:val="18"/>
              </w:rPr>
            </w:pPr>
            <w:proofErr w:type="spellStart"/>
            <w:r w:rsidRPr="009A00DB">
              <w:rPr>
                <w:rFonts w:ascii="Arial" w:hAnsi="Arial" w:cs="Arial"/>
                <w:color w:val="000000"/>
                <w:sz w:val="18"/>
                <w:szCs w:val="18"/>
              </w:rPr>
              <w:t>Movilidad</w:t>
            </w:r>
            <w:proofErr w:type="spellEnd"/>
            <w:r w:rsidRPr="009A00DB">
              <w:rPr>
                <w:rFonts w:ascii="Arial" w:hAnsi="Arial" w:cs="Arial"/>
                <w:color w:val="000000"/>
                <w:sz w:val="18"/>
                <w:szCs w:val="18"/>
              </w:rPr>
              <w:t xml:space="preserve"> corporal</w:t>
            </w:r>
          </w:p>
        </w:tc>
        <w:tc>
          <w:tcPr>
            <w:tcW w:w="2896" w:type="pct"/>
          </w:tcPr>
          <w:p w14:paraId="735E5A2A" w14:textId="77777777" w:rsidR="000C3D4F" w:rsidRPr="009A00DB" w:rsidRDefault="000C3D4F" w:rsidP="000C3D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sidRPr="009A00DB">
              <w:rPr>
                <w:rFonts w:ascii="Arial" w:hAnsi="Arial" w:cs="Arial"/>
                <w:color w:val="000000"/>
                <w:sz w:val="18"/>
                <w:szCs w:val="18"/>
                <w:lang w:val="es-MX"/>
              </w:rPr>
              <w:t>Capacidad del sujeto para levantarse de una silla, recorrer una distancia determinada y volver a sentarse en la menor cantidad de tiempo posible.</w:t>
            </w:r>
          </w:p>
        </w:tc>
        <w:tc>
          <w:tcPr>
            <w:tcW w:w="657" w:type="pct"/>
            <w:vMerge/>
          </w:tcPr>
          <w:p w14:paraId="05B5E0FE" w14:textId="77777777"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c>
          <w:tcPr>
            <w:tcW w:w="588" w:type="pct"/>
          </w:tcPr>
          <w:p w14:paraId="2D851AC2" w14:textId="77777777"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color w:val="000000"/>
                <w:sz w:val="18"/>
                <w:szCs w:val="18"/>
              </w:rPr>
              <w:t>Segundos</w:t>
            </w:r>
            <w:proofErr w:type="spellEnd"/>
          </w:p>
        </w:tc>
      </w:tr>
      <w:tr w:rsidR="000C3D4F" w:rsidRPr="009A00DB" w14:paraId="1C8B4D63" w14:textId="77777777" w:rsidTr="000C3D4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tcPr>
          <w:p w14:paraId="1A00BBBF" w14:textId="77777777" w:rsidR="000C3D4F" w:rsidRPr="009A00DB" w:rsidRDefault="000C3D4F" w:rsidP="000C3D4F">
            <w:pPr>
              <w:rPr>
                <w:rFonts w:ascii="Arial" w:eastAsia="Times New Roman" w:hAnsi="Arial" w:cs="Arial"/>
                <w:color w:val="000000"/>
                <w:sz w:val="18"/>
                <w:szCs w:val="18"/>
                <w:lang w:eastAsia="es-MX"/>
              </w:rPr>
            </w:pPr>
            <w:proofErr w:type="spellStart"/>
            <w:r w:rsidRPr="009A00DB">
              <w:rPr>
                <w:rFonts w:ascii="Arial" w:eastAsia="Times New Roman" w:hAnsi="Arial" w:cs="Arial"/>
                <w:color w:val="000000"/>
                <w:sz w:val="18"/>
                <w:szCs w:val="18"/>
                <w:lang w:eastAsia="es-MX"/>
              </w:rPr>
              <w:t>Fuerza</w:t>
            </w:r>
            <w:proofErr w:type="spellEnd"/>
            <w:r w:rsidRPr="009A00DB">
              <w:rPr>
                <w:rFonts w:ascii="Arial" w:eastAsia="Times New Roman" w:hAnsi="Arial" w:cs="Arial"/>
                <w:color w:val="000000"/>
                <w:sz w:val="18"/>
                <w:szCs w:val="18"/>
                <w:lang w:eastAsia="es-MX"/>
              </w:rPr>
              <w:t xml:space="preserve"> muscular</w:t>
            </w:r>
          </w:p>
          <w:p w14:paraId="292F5605" w14:textId="77777777" w:rsidR="000C3D4F" w:rsidRPr="009A00DB" w:rsidRDefault="000C3D4F" w:rsidP="000C3D4F">
            <w:pPr>
              <w:rPr>
                <w:rFonts w:ascii="Arial" w:hAnsi="Arial" w:cs="Arial"/>
                <w:color w:val="000000"/>
                <w:sz w:val="18"/>
                <w:szCs w:val="18"/>
              </w:rPr>
            </w:pPr>
            <w:r w:rsidRPr="009A00DB">
              <w:rPr>
                <w:rFonts w:ascii="Arial" w:eastAsia="Times New Roman" w:hAnsi="Arial" w:cs="Arial"/>
                <w:color w:val="000000"/>
                <w:sz w:val="18"/>
                <w:szCs w:val="18"/>
                <w:lang w:eastAsia="es-MX"/>
              </w:rPr>
              <w:t>(</w:t>
            </w:r>
            <w:proofErr w:type="spellStart"/>
            <w:r w:rsidRPr="009A00DB">
              <w:rPr>
                <w:rFonts w:ascii="Arial" w:eastAsia="Times New Roman" w:hAnsi="Arial" w:cs="Arial"/>
                <w:color w:val="000000"/>
                <w:sz w:val="18"/>
                <w:szCs w:val="18"/>
                <w:lang w:eastAsia="es-MX"/>
              </w:rPr>
              <w:t>FMusc</w:t>
            </w:r>
            <w:proofErr w:type="spellEnd"/>
            <w:r w:rsidRPr="009A00DB">
              <w:rPr>
                <w:rFonts w:ascii="Arial" w:eastAsia="Times New Roman" w:hAnsi="Arial" w:cs="Arial"/>
                <w:color w:val="000000"/>
                <w:sz w:val="18"/>
                <w:szCs w:val="18"/>
                <w:lang w:eastAsia="es-MX"/>
              </w:rPr>
              <w:t>)</w:t>
            </w:r>
          </w:p>
        </w:tc>
        <w:tc>
          <w:tcPr>
            <w:tcW w:w="2896" w:type="pct"/>
          </w:tcPr>
          <w:p w14:paraId="1803CA2C" w14:textId="77777777" w:rsidR="000C3D4F" w:rsidRPr="009A00DB" w:rsidRDefault="000C3D4F" w:rsidP="000C3D4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sidRPr="009A00DB">
              <w:rPr>
                <w:rFonts w:ascii="Arial" w:eastAsia="Times New Roman" w:hAnsi="Arial" w:cs="Arial"/>
                <w:color w:val="000000"/>
                <w:sz w:val="18"/>
                <w:szCs w:val="18"/>
                <w:lang w:val="es-MX" w:eastAsia="es-MX"/>
              </w:rPr>
              <w:t xml:space="preserve">Capacidad del músculo de ejercer tensión contra una carga durante la contracción muscular medido mediante un </w:t>
            </w:r>
            <w:r w:rsidRPr="009A00DB">
              <w:rPr>
                <w:rFonts w:ascii="Arial" w:hAnsi="Arial" w:cs="Arial"/>
                <w:color w:val="000000"/>
                <w:sz w:val="18"/>
                <w:szCs w:val="18"/>
                <w:lang w:val="es-MX"/>
              </w:rPr>
              <w:t>dinamómetro digital de agarre</w:t>
            </w:r>
          </w:p>
        </w:tc>
        <w:tc>
          <w:tcPr>
            <w:tcW w:w="657" w:type="pct"/>
            <w:vMerge/>
          </w:tcPr>
          <w:p w14:paraId="646FB0FB"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p>
        </w:tc>
        <w:tc>
          <w:tcPr>
            <w:tcW w:w="588" w:type="pct"/>
          </w:tcPr>
          <w:p w14:paraId="2BE57376"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color w:val="000000"/>
                <w:sz w:val="18"/>
                <w:szCs w:val="18"/>
              </w:rPr>
              <w:t>Kilogramos</w:t>
            </w:r>
            <w:proofErr w:type="spellEnd"/>
            <w:r w:rsidRPr="009A00DB">
              <w:rPr>
                <w:rFonts w:ascii="Arial" w:hAnsi="Arial" w:cs="Arial"/>
                <w:color w:val="000000"/>
                <w:sz w:val="18"/>
                <w:szCs w:val="18"/>
              </w:rPr>
              <w:t xml:space="preserve"> </w:t>
            </w:r>
            <w:proofErr w:type="spellStart"/>
            <w:r w:rsidRPr="009A00DB">
              <w:rPr>
                <w:rFonts w:ascii="Arial" w:hAnsi="Arial" w:cs="Arial"/>
                <w:color w:val="000000"/>
                <w:sz w:val="18"/>
                <w:szCs w:val="18"/>
              </w:rPr>
              <w:t>Fuerza</w:t>
            </w:r>
            <w:proofErr w:type="spellEnd"/>
            <w:r w:rsidRPr="009A00DB">
              <w:rPr>
                <w:rFonts w:ascii="Arial" w:hAnsi="Arial" w:cs="Arial"/>
                <w:color w:val="000000"/>
                <w:sz w:val="18"/>
                <w:szCs w:val="18"/>
              </w:rPr>
              <w:t xml:space="preserve"> (</w:t>
            </w:r>
            <w:proofErr w:type="spellStart"/>
            <w:r w:rsidRPr="009A00DB">
              <w:rPr>
                <w:rFonts w:ascii="Arial" w:hAnsi="Arial" w:cs="Arial"/>
                <w:color w:val="000000"/>
                <w:sz w:val="18"/>
                <w:szCs w:val="18"/>
              </w:rPr>
              <w:t>Kg</w:t>
            </w:r>
            <w:r w:rsidRPr="009A00DB">
              <w:rPr>
                <w:rFonts w:ascii="Arial" w:hAnsi="Arial" w:cs="Arial"/>
                <w:color w:val="000000"/>
                <w:sz w:val="18"/>
                <w:szCs w:val="18"/>
                <w:vertAlign w:val="subscript"/>
              </w:rPr>
              <w:t>f</w:t>
            </w:r>
            <w:proofErr w:type="spellEnd"/>
            <w:r w:rsidRPr="009A00DB">
              <w:rPr>
                <w:rFonts w:ascii="Arial" w:hAnsi="Arial" w:cs="Arial"/>
                <w:color w:val="000000"/>
                <w:sz w:val="18"/>
                <w:szCs w:val="18"/>
              </w:rPr>
              <w:t>)</w:t>
            </w:r>
          </w:p>
        </w:tc>
      </w:tr>
      <w:tr w:rsidR="000C3D4F" w:rsidRPr="009A00DB" w14:paraId="76819179" w14:textId="77777777" w:rsidTr="000C3D4F">
        <w:trPr>
          <w:trHeight w:val="283"/>
        </w:trPr>
        <w:tc>
          <w:tcPr>
            <w:cnfStyle w:val="001000000000" w:firstRow="0" w:lastRow="0" w:firstColumn="1" w:lastColumn="0" w:oddVBand="0" w:evenVBand="0" w:oddHBand="0" w:evenHBand="0" w:firstRowFirstColumn="0" w:firstRowLastColumn="0" w:lastRowFirstColumn="0" w:lastRowLastColumn="0"/>
            <w:tcW w:w="859" w:type="pct"/>
          </w:tcPr>
          <w:p w14:paraId="27248870" w14:textId="77777777" w:rsidR="000C3D4F" w:rsidRPr="009A00DB" w:rsidRDefault="000C3D4F" w:rsidP="000C3D4F">
            <w:pPr>
              <w:rPr>
                <w:rFonts w:ascii="Arial" w:eastAsia="Times New Roman" w:hAnsi="Arial" w:cs="Arial"/>
                <w:color w:val="000000"/>
                <w:sz w:val="18"/>
                <w:szCs w:val="18"/>
                <w:lang w:eastAsia="es-MX"/>
              </w:rPr>
            </w:pPr>
            <w:proofErr w:type="spellStart"/>
            <w:r w:rsidRPr="009A00DB">
              <w:rPr>
                <w:rFonts w:ascii="Arial" w:eastAsia="Times New Roman" w:hAnsi="Arial" w:cs="Arial"/>
                <w:color w:val="000000"/>
                <w:sz w:val="18"/>
                <w:szCs w:val="18"/>
                <w:lang w:eastAsia="es-MX"/>
              </w:rPr>
              <w:t>Prueba</w:t>
            </w:r>
            <w:proofErr w:type="spellEnd"/>
            <w:r w:rsidRPr="009A00DB">
              <w:rPr>
                <w:rFonts w:ascii="Arial" w:eastAsia="Times New Roman" w:hAnsi="Arial" w:cs="Arial"/>
                <w:color w:val="000000"/>
                <w:sz w:val="18"/>
                <w:szCs w:val="18"/>
                <w:lang w:eastAsia="es-MX"/>
              </w:rPr>
              <w:t xml:space="preserve"> de </w:t>
            </w:r>
            <w:proofErr w:type="spellStart"/>
            <w:r w:rsidRPr="009A00DB">
              <w:rPr>
                <w:rFonts w:ascii="Arial" w:eastAsia="Times New Roman" w:hAnsi="Arial" w:cs="Arial"/>
                <w:color w:val="000000"/>
                <w:sz w:val="18"/>
                <w:szCs w:val="18"/>
                <w:lang w:eastAsia="es-MX"/>
              </w:rPr>
              <w:t>sentadillas</w:t>
            </w:r>
            <w:proofErr w:type="spellEnd"/>
          </w:p>
        </w:tc>
        <w:tc>
          <w:tcPr>
            <w:tcW w:w="2896" w:type="pct"/>
          </w:tcPr>
          <w:p w14:paraId="3F92F060" w14:textId="77777777" w:rsidR="000C3D4F" w:rsidRPr="009A00DB" w:rsidRDefault="000C3D4F" w:rsidP="000C3D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MX" w:eastAsia="es-MX"/>
              </w:rPr>
            </w:pPr>
            <w:r w:rsidRPr="009A00DB">
              <w:rPr>
                <w:rFonts w:ascii="Arial" w:eastAsia="Times New Roman" w:hAnsi="Arial" w:cs="Arial"/>
                <w:color w:val="000000"/>
                <w:sz w:val="18"/>
                <w:szCs w:val="18"/>
                <w:lang w:val="es-MX" w:eastAsia="es-MX"/>
              </w:rPr>
              <w:t xml:space="preserve">Capacidad del músculo para responder a un esfuerzo repetitivo de corta duración. Prueba de </w:t>
            </w:r>
            <w:proofErr w:type="spellStart"/>
            <w:r w:rsidRPr="009A00DB">
              <w:rPr>
                <w:rFonts w:ascii="Arial" w:eastAsia="Times New Roman" w:hAnsi="Arial" w:cs="Arial"/>
                <w:color w:val="000000"/>
                <w:sz w:val="18"/>
                <w:szCs w:val="18"/>
                <w:lang w:val="es-MX" w:eastAsia="es-MX"/>
              </w:rPr>
              <w:t>Ruffier</w:t>
            </w:r>
            <w:proofErr w:type="spellEnd"/>
            <w:r w:rsidRPr="009A00DB">
              <w:rPr>
                <w:rFonts w:ascii="Arial" w:eastAsia="Times New Roman" w:hAnsi="Arial" w:cs="Arial"/>
                <w:color w:val="000000"/>
                <w:sz w:val="18"/>
                <w:szCs w:val="18"/>
                <w:lang w:val="es-MX" w:eastAsia="es-MX"/>
              </w:rPr>
              <w:t>-Dickson</w:t>
            </w:r>
          </w:p>
        </w:tc>
        <w:tc>
          <w:tcPr>
            <w:tcW w:w="657" w:type="pct"/>
            <w:vMerge/>
          </w:tcPr>
          <w:p w14:paraId="031C7BDB" w14:textId="77777777"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p>
        </w:tc>
        <w:tc>
          <w:tcPr>
            <w:tcW w:w="588" w:type="pct"/>
          </w:tcPr>
          <w:p w14:paraId="76C82007" w14:textId="77777777" w:rsidR="000C3D4F" w:rsidRPr="009A00DB" w:rsidRDefault="000C3D4F"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color w:val="000000"/>
                <w:sz w:val="18"/>
                <w:szCs w:val="18"/>
              </w:rPr>
              <w:t>Repeticiones</w:t>
            </w:r>
            <w:proofErr w:type="spellEnd"/>
            <w:r w:rsidRPr="009A00DB">
              <w:rPr>
                <w:rFonts w:ascii="Arial" w:hAnsi="Arial" w:cs="Arial"/>
                <w:color w:val="000000"/>
                <w:sz w:val="18"/>
                <w:szCs w:val="18"/>
              </w:rPr>
              <w:t xml:space="preserve"> (Reps)</w:t>
            </w:r>
          </w:p>
        </w:tc>
      </w:tr>
      <w:tr w:rsidR="000C3D4F" w:rsidRPr="009A00DB" w14:paraId="3BDE9A5F" w14:textId="77777777" w:rsidTr="000C3D4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tcPr>
          <w:p w14:paraId="63B6B322" w14:textId="77777777" w:rsidR="000C3D4F" w:rsidRPr="009A00DB" w:rsidRDefault="000C3D4F" w:rsidP="000C3D4F">
            <w:pPr>
              <w:rPr>
                <w:rFonts w:ascii="Arial" w:eastAsia="Times New Roman" w:hAnsi="Arial" w:cs="Arial"/>
                <w:color w:val="000000"/>
                <w:sz w:val="18"/>
                <w:szCs w:val="18"/>
                <w:lang w:eastAsia="es-MX"/>
              </w:rPr>
            </w:pPr>
            <w:proofErr w:type="spellStart"/>
            <w:r w:rsidRPr="009A00DB">
              <w:rPr>
                <w:rFonts w:ascii="Arial" w:eastAsia="Times New Roman" w:hAnsi="Arial" w:cs="Arial"/>
                <w:color w:val="000000"/>
                <w:sz w:val="18"/>
                <w:szCs w:val="18"/>
                <w:lang w:eastAsia="es-MX"/>
              </w:rPr>
              <w:t>Fuerza</w:t>
            </w:r>
            <w:proofErr w:type="spellEnd"/>
            <w:r w:rsidRPr="009A00DB">
              <w:rPr>
                <w:rFonts w:ascii="Arial" w:eastAsia="Times New Roman" w:hAnsi="Arial" w:cs="Arial"/>
                <w:color w:val="000000"/>
                <w:sz w:val="18"/>
                <w:szCs w:val="18"/>
                <w:lang w:eastAsia="es-MX"/>
              </w:rPr>
              <w:t xml:space="preserve"> abdominal</w:t>
            </w:r>
          </w:p>
        </w:tc>
        <w:tc>
          <w:tcPr>
            <w:tcW w:w="2896" w:type="pct"/>
          </w:tcPr>
          <w:p w14:paraId="73031A02" w14:textId="77777777" w:rsidR="000C3D4F" w:rsidRPr="009A00DB" w:rsidRDefault="000C3D4F" w:rsidP="000C3D4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MX" w:eastAsia="es-MX"/>
              </w:rPr>
            </w:pPr>
            <w:r w:rsidRPr="009A00DB">
              <w:rPr>
                <w:rFonts w:ascii="Arial" w:eastAsia="Times New Roman" w:hAnsi="Arial" w:cs="Arial"/>
                <w:color w:val="000000"/>
                <w:sz w:val="18"/>
                <w:szCs w:val="18"/>
                <w:lang w:val="es-MX" w:eastAsia="es-MX"/>
              </w:rPr>
              <w:t>Capacidad que tiene un sujeto para superar, oponerse o contrarrestar una resistencia mediante una contracción de la zona muscular abdominal</w:t>
            </w:r>
          </w:p>
        </w:tc>
        <w:tc>
          <w:tcPr>
            <w:tcW w:w="657" w:type="pct"/>
            <w:vMerge/>
          </w:tcPr>
          <w:p w14:paraId="5909A5D4"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p>
        </w:tc>
        <w:tc>
          <w:tcPr>
            <w:tcW w:w="588" w:type="pct"/>
          </w:tcPr>
          <w:p w14:paraId="622B8D75" w14:textId="77777777"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9A00DB">
              <w:rPr>
                <w:rFonts w:ascii="Arial" w:hAnsi="Arial" w:cs="Arial"/>
                <w:color w:val="000000"/>
                <w:sz w:val="18"/>
                <w:szCs w:val="18"/>
              </w:rPr>
              <w:t>Repeticiones</w:t>
            </w:r>
            <w:proofErr w:type="spellEnd"/>
            <w:r w:rsidRPr="009A00DB">
              <w:rPr>
                <w:rFonts w:ascii="Arial" w:hAnsi="Arial" w:cs="Arial"/>
                <w:color w:val="000000"/>
                <w:sz w:val="18"/>
                <w:szCs w:val="18"/>
              </w:rPr>
              <w:t xml:space="preserve"> (Reps)</w:t>
            </w:r>
          </w:p>
        </w:tc>
      </w:tr>
      <w:tr w:rsidR="000C3D4F" w:rsidRPr="00570DB1" w14:paraId="044E24B8" w14:textId="77777777" w:rsidTr="000C3D4F">
        <w:trPr>
          <w:trHeight w:val="283"/>
        </w:trPr>
        <w:tc>
          <w:tcPr>
            <w:cnfStyle w:val="001000000000" w:firstRow="0" w:lastRow="0" w:firstColumn="1" w:lastColumn="0" w:oddVBand="0" w:evenVBand="0" w:oddHBand="0" w:evenHBand="0" w:firstRowFirstColumn="0" w:firstRowLastColumn="0" w:lastRowFirstColumn="0" w:lastRowLastColumn="0"/>
            <w:tcW w:w="859" w:type="pct"/>
          </w:tcPr>
          <w:p w14:paraId="2475BE95" w14:textId="669788D3" w:rsidR="000C3D4F" w:rsidRPr="009A00DB" w:rsidRDefault="000C3D4F" w:rsidP="000C3D4F">
            <w:pPr>
              <w:rPr>
                <w:rFonts w:ascii="Arial" w:eastAsia="Times New Roman" w:hAnsi="Arial" w:cs="Arial"/>
                <w:color w:val="000000"/>
                <w:sz w:val="18"/>
                <w:szCs w:val="18"/>
                <w:lang w:eastAsia="es-MX"/>
              </w:rPr>
            </w:pPr>
            <w:proofErr w:type="spellStart"/>
            <w:r>
              <w:rPr>
                <w:rFonts w:ascii="Arial" w:eastAsia="Times New Roman" w:hAnsi="Arial" w:cs="Arial"/>
                <w:color w:val="000000"/>
                <w:sz w:val="18"/>
                <w:szCs w:val="18"/>
                <w:lang w:eastAsia="es-MX"/>
              </w:rPr>
              <w:t>Desempeño</w:t>
            </w:r>
            <w:proofErr w:type="spellEnd"/>
            <w:r>
              <w:rPr>
                <w:rFonts w:ascii="Arial" w:eastAsia="Times New Roman" w:hAnsi="Arial" w:cs="Arial"/>
                <w:color w:val="000000"/>
                <w:sz w:val="18"/>
                <w:szCs w:val="18"/>
                <w:lang w:eastAsia="es-MX"/>
              </w:rPr>
              <w:t xml:space="preserve"> </w:t>
            </w:r>
            <w:proofErr w:type="spellStart"/>
            <w:r>
              <w:rPr>
                <w:rFonts w:ascii="Arial" w:eastAsia="Times New Roman" w:hAnsi="Arial" w:cs="Arial"/>
                <w:color w:val="000000"/>
                <w:sz w:val="18"/>
                <w:szCs w:val="18"/>
                <w:lang w:eastAsia="es-MX"/>
              </w:rPr>
              <w:t>físico</w:t>
            </w:r>
            <w:proofErr w:type="spellEnd"/>
          </w:p>
        </w:tc>
        <w:tc>
          <w:tcPr>
            <w:tcW w:w="2896" w:type="pct"/>
          </w:tcPr>
          <w:p w14:paraId="541D1E3D" w14:textId="5CC5B829" w:rsidR="000C3D4F" w:rsidRPr="00570DB1" w:rsidRDefault="00570DB1" w:rsidP="000C3D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N</w:t>
            </w:r>
            <w:r w:rsidRPr="00570DB1">
              <w:rPr>
                <w:rFonts w:ascii="Arial" w:eastAsia="Times New Roman" w:hAnsi="Arial" w:cs="Arial"/>
                <w:color w:val="000000"/>
                <w:sz w:val="18"/>
                <w:szCs w:val="18"/>
                <w:lang w:val="es-MX" w:eastAsia="es-MX"/>
              </w:rPr>
              <w:t>ivel de capacidad funcional del paciente al finalizar el programa de ejercicio físico supervisado</w:t>
            </w:r>
          </w:p>
        </w:tc>
        <w:tc>
          <w:tcPr>
            <w:tcW w:w="657" w:type="pct"/>
          </w:tcPr>
          <w:p w14:paraId="7C1DE844" w14:textId="10A0A757" w:rsidR="000C3D4F" w:rsidRPr="009A00DB" w:rsidRDefault="00570DB1"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Cualitativa dicotómica</w:t>
            </w:r>
          </w:p>
        </w:tc>
        <w:tc>
          <w:tcPr>
            <w:tcW w:w="588" w:type="pct"/>
          </w:tcPr>
          <w:p w14:paraId="483E160C" w14:textId="77777777" w:rsidR="000C3D4F" w:rsidRDefault="00570DB1"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0= Alto</w:t>
            </w:r>
          </w:p>
          <w:p w14:paraId="22647E4D" w14:textId="68138598" w:rsidR="00570DB1" w:rsidRPr="00570DB1" w:rsidRDefault="00570DB1" w:rsidP="000C3D4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1= Bajo</w:t>
            </w:r>
          </w:p>
        </w:tc>
      </w:tr>
      <w:tr w:rsidR="000C3D4F" w:rsidRPr="000C3D4F" w14:paraId="74975CEA" w14:textId="77777777" w:rsidTr="000C3D4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tcPr>
          <w:p w14:paraId="735916D9" w14:textId="686BE8D2" w:rsidR="000C3D4F" w:rsidRPr="009A00DB" w:rsidRDefault="000C3D4F" w:rsidP="000C3D4F">
            <w:pPr>
              <w:rPr>
                <w:rFonts w:ascii="Arial" w:hAnsi="Arial" w:cs="Arial"/>
                <w:color w:val="000000"/>
                <w:sz w:val="18"/>
                <w:szCs w:val="18"/>
              </w:rPr>
            </w:pPr>
            <w:proofErr w:type="spellStart"/>
            <w:r>
              <w:rPr>
                <w:rFonts w:ascii="Arial" w:hAnsi="Arial" w:cs="Arial"/>
                <w:color w:val="000000"/>
                <w:sz w:val="18"/>
                <w:szCs w:val="18"/>
              </w:rPr>
              <w:t>Hospitalización</w:t>
            </w:r>
            <w:proofErr w:type="spellEnd"/>
            <w:r>
              <w:rPr>
                <w:rFonts w:ascii="Arial" w:hAnsi="Arial" w:cs="Arial"/>
                <w:color w:val="000000"/>
                <w:sz w:val="18"/>
                <w:szCs w:val="18"/>
              </w:rPr>
              <w:t xml:space="preserve"> (Días)</w:t>
            </w:r>
          </w:p>
        </w:tc>
        <w:tc>
          <w:tcPr>
            <w:tcW w:w="2896" w:type="pct"/>
          </w:tcPr>
          <w:p w14:paraId="3BCE6DAE" w14:textId="3A5C2E24" w:rsidR="000C3D4F" w:rsidRDefault="000C3D4F" w:rsidP="000C3D4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N</w:t>
            </w:r>
            <w:r w:rsidRPr="000C3D4F">
              <w:rPr>
                <w:rFonts w:ascii="Arial" w:hAnsi="Arial" w:cs="Arial"/>
                <w:color w:val="000000"/>
                <w:sz w:val="18"/>
                <w:szCs w:val="18"/>
                <w:lang w:val="es-MX"/>
              </w:rPr>
              <w:t>úmero total de días calendario que el paciente permaneció internado en el hospital durante la fase de inducción a la remisión, contados desde el día de ingreso hasta el día de egreso hospitalario</w:t>
            </w:r>
          </w:p>
        </w:tc>
        <w:tc>
          <w:tcPr>
            <w:tcW w:w="657" w:type="pct"/>
          </w:tcPr>
          <w:p w14:paraId="795286F2" w14:textId="6E352C8D" w:rsidR="000C3D4F" w:rsidRPr="009A00DB"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Cuantitativa discreta</w:t>
            </w:r>
          </w:p>
        </w:tc>
        <w:tc>
          <w:tcPr>
            <w:tcW w:w="588" w:type="pct"/>
          </w:tcPr>
          <w:p w14:paraId="6E0FF0D7" w14:textId="4893A5BC" w:rsidR="000C3D4F" w:rsidRPr="000C3D4F" w:rsidRDefault="000C3D4F" w:rsidP="000C3D4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es-MX"/>
              </w:rPr>
            </w:pPr>
            <w:r>
              <w:rPr>
                <w:rFonts w:ascii="Arial" w:hAnsi="Arial" w:cs="Arial"/>
                <w:color w:val="000000"/>
                <w:sz w:val="18"/>
                <w:szCs w:val="18"/>
                <w:lang w:val="es-MX"/>
              </w:rPr>
              <w:t>Días</w:t>
            </w:r>
          </w:p>
        </w:tc>
      </w:tr>
      <w:bookmarkEnd w:id="9"/>
    </w:tbl>
    <w:p w14:paraId="54A4754F" w14:textId="77777777" w:rsidR="00AD4DE3" w:rsidRDefault="00AD4DE3" w:rsidP="00D9312C">
      <w:pPr>
        <w:spacing w:line="360" w:lineRule="auto"/>
        <w:jc w:val="both"/>
        <w:rPr>
          <w:rFonts w:ascii="Arial" w:hAnsi="Arial" w:cs="Arial"/>
          <w:b/>
          <w:bCs/>
          <w:i/>
          <w:iCs/>
          <w:lang w:val="es-ES"/>
        </w:rPr>
      </w:pPr>
    </w:p>
    <w:p w14:paraId="66597D8B" w14:textId="53EA7C36" w:rsidR="002E49D6" w:rsidRPr="002E49D6" w:rsidRDefault="002E49D6" w:rsidP="002E49D6">
      <w:pPr>
        <w:pStyle w:val="Caption"/>
        <w:keepNext/>
        <w:rPr>
          <w:i w:val="0"/>
          <w:iCs w:val="0"/>
        </w:rPr>
      </w:pPr>
      <w:r w:rsidRPr="002E49D6">
        <w:rPr>
          <w:rFonts w:ascii="Arial" w:hAnsi="Arial" w:cs="Arial"/>
          <w:b/>
          <w:bCs/>
          <w:i w:val="0"/>
          <w:iCs w:val="0"/>
          <w:color w:val="auto"/>
          <w:sz w:val="24"/>
          <w:szCs w:val="24"/>
          <w:lang w:val="es-ES"/>
        </w:rPr>
        <w:t xml:space="preserve">Tabla </w:t>
      </w:r>
      <w:r w:rsidRPr="002E49D6">
        <w:rPr>
          <w:rFonts w:ascii="Arial" w:hAnsi="Arial" w:cs="Arial"/>
          <w:b/>
          <w:bCs/>
          <w:i w:val="0"/>
          <w:iCs w:val="0"/>
          <w:color w:val="auto"/>
          <w:sz w:val="24"/>
          <w:szCs w:val="24"/>
          <w:lang w:val="es-ES"/>
        </w:rPr>
        <w:fldChar w:fldCharType="begin"/>
      </w:r>
      <w:r w:rsidRPr="002E49D6">
        <w:rPr>
          <w:rFonts w:ascii="Arial" w:hAnsi="Arial" w:cs="Arial"/>
          <w:b/>
          <w:bCs/>
          <w:i w:val="0"/>
          <w:iCs w:val="0"/>
          <w:color w:val="auto"/>
          <w:sz w:val="24"/>
          <w:szCs w:val="24"/>
          <w:lang w:val="es-ES"/>
        </w:rPr>
        <w:instrText xml:space="preserve"> SEQ Tabla \* ARABIC </w:instrText>
      </w:r>
      <w:r w:rsidRPr="002E49D6">
        <w:rPr>
          <w:rFonts w:ascii="Arial" w:hAnsi="Arial" w:cs="Arial"/>
          <w:b/>
          <w:bCs/>
          <w:i w:val="0"/>
          <w:iCs w:val="0"/>
          <w:color w:val="auto"/>
          <w:sz w:val="24"/>
          <w:szCs w:val="24"/>
          <w:lang w:val="es-ES"/>
        </w:rPr>
        <w:fldChar w:fldCharType="separate"/>
      </w:r>
      <w:r w:rsidR="00026D67">
        <w:rPr>
          <w:rFonts w:ascii="Arial" w:hAnsi="Arial" w:cs="Arial"/>
          <w:b/>
          <w:bCs/>
          <w:i w:val="0"/>
          <w:iCs w:val="0"/>
          <w:noProof/>
          <w:color w:val="auto"/>
          <w:sz w:val="24"/>
          <w:szCs w:val="24"/>
          <w:lang w:val="es-ES"/>
        </w:rPr>
        <w:t>2</w:t>
      </w:r>
      <w:r w:rsidRPr="002E49D6">
        <w:rPr>
          <w:rFonts w:ascii="Arial" w:hAnsi="Arial" w:cs="Arial"/>
          <w:b/>
          <w:bCs/>
          <w:i w:val="0"/>
          <w:iCs w:val="0"/>
          <w:color w:val="auto"/>
          <w:sz w:val="24"/>
          <w:szCs w:val="24"/>
          <w:lang w:val="es-ES"/>
        </w:rPr>
        <w:fldChar w:fldCharType="end"/>
      </w:r>
      <w:r w:rsidRPr="002E49D6">
        <w:rPr>
          <w:rFonts w:ascii="Arial" w:hAnsi="Arial" w:cs="Arial"/>
          <w:b/>
          <w:bCs/>
          <w:i w:val="0"/>
          <w:iCs w:val="0"/>
          <w:color w:val="auto"/>
          <w:sz w:val="24"/>
          <w:szCs w:val="24"/>
          <w:lang w:val="es-ES"/>
        </w:rPr>
        <w:t>. Variable de estudio independiente</w:t>
      </w:r>
    </w:p>
    <w:tbl>
      <w:tblPr>
        <w:tblStyle w:val="PlainTable4"/>
        <w:tblW w:w="5429" w:type="pct"/>
        <w:tblLayout w:type="fixed"/>
        <w:tblLook w:val="04A0" w:firstRow="1" w:lastRow="0" w:firstColumn="1" w:lastColumn="0" w:noHBand="0" w:noVBand="1"/>
      </w:tblPr>
      <w:tblGrid>
        <w:gridCol w:w="1747"/>
        <w:gridCol w:w="5886"/>
        <w:gridCol w:w="1335"/>
        <w:gridCol w:w="1195"/>
      </w:tblGrid>
      <w:tr w:rsidR="000C3D4F" w:rsidRPr="009A00DB" w14:paraId="48F590B8" w14:textId="77777777" w:rsidTr="0095329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9" w:type="pct"/>
          </w:tcPr>
          <w:p w14:paraId="1E4C464A" w14:textId="77777777" w:rsidR="000C3D4F" w:rsidRPr="009A00DB" w:rsidRDefault="000C3D4F" w:rsidP="0095329C">
            <w:pPr>
              <w:rPr>
                <w:rFonts w:ascii="Arial" w:hAnsi="Arial" w:cs="Arial"/>
                <w:color w:val="000000"/>
                <w:sz w:val="18"/>
                <w:szCs w:val="18"/>
              </w:rPr>
            </w:pPr>
            <w:proofErr w:type="spellStart"/>
            <w:r w:rsidRPr="009A00DB">
              <w:rPr>
                <w:rFonts w:ascii="Arial" w:hAnsi="Arial" w:cs="Arial"/>
                <w:color w:val="000000"/>
                <w:sz w:val="18"/>
                <w:szCs w:val="18"/>
              </w:rPr>
              <w:t>Re</w:t>
            </w:r>
            <w:r>
              <w:rPr>
                <w:rFonts w:ascii="Arial" w:hAnsi="Arial" w:cs="Arial"/>
                <w:color w:val="000000"/>
                <w:sz w:val="18"/>
                <w:szCs w:val="18"/>
              </w:rPr>
              <w:t>caída</w:t>
            </w:r>
            <w:proofErr w:type="spellEnd"/>
            <w:r w:rsidRPr="009A00DB">
              <w:rPr>
                <w:rFonts w:ascii="Arial" w:hAnsi="Arial" w:cs="Arial"/>
                <w:color w:val="000000"/>
                <w:sz w:val="18"/>
                <w:szCs w:val="18"/>
              </w:rPr>
              <w:t xml:space="preserve"> al </w:t>
            </w:r>
            <w:proofErr w:type="spellStart"/>
            <w:r w:rsidRPr="009A00DB">
              <w:rPr>
                <w:rFonts w:ascii="Arial" w:hAnsi="Arial" w:cs="Arial"/>
                <w:color w:val="000000"/>
                <w:sz w:val="18"/>
                <w:szCs w:val="18"/>
              </w:rPr>
              <w:t>tratamiento</w:t>
            </w:r>
            <w:proofErr w:type="spellEnd"/>
          </w:p>
        </w:tc>
        <w:tc>
          <w:tcPr>
            <w:tcW w:w="2896" w:type="pct"/>
          </w:tcPr>
          <w:p w14:paraId="6F31579A" w14:textId="77777777" w:rsidR="000C3D4F" w:rsidRPr="000C3D4F" w:rsidRDefault="000C3D4F" w:rsidP="009532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202124"/>
                <w:sz w:val="18"/>
                <w:szCs w:val="18"/>
                <w:shd w:val="clear" w:color="auto" w:fill="FFFFFF"/>
                <w:lang w:val="es-MX"/>
              </w:rPr>
            </w:pPr>
            <w:r w:rsidRPr="000C3D4F">
              <w:rPr>
                <w:rFonts w:ascii="Arial" w:hAnsi="Arial" w:cs="Arial"/>
                <w:b w:val="0"/>
                <w:bCs w:val="0"/>
                <w:color w:val="000000"/>
                <w:sz w:val="18"/>
                <w:szCs w:val="18"/>
                <w:lang w:val="es-MX"/>
              </w:rPr>
              <w:t>Reaparición de la leucemia linfoblástica aguda (LLA) tras haber alcanzado una remisión completa posterior al tratamiento de inducción</w:t>
            </w:r>
          </w:p>
        </w:tc>
        <w:tc>
          <w:tcPr>
            <w:tcW w:w="657" w:type="pct"/>
          </w:tcPr>
          <w:p w14:paraId="52FA9D2A" w14:textId="77777777" w:rsidR="000C3D4F" w:rsidRPr="000C3D4F" w:rsidRDefault="000C3D4F" w:rsidP="009532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lang w:val="es-MX"/>
              </w:rPr>
            </w:pPr>
            <w:r w:rsidRPr="000C3D4F">
              <w:rPr>
                <w:rFonts w:ascii="Arial" w:hAnsi="Arial" w:cs="Arial"/>
                <w:b w:val="0"/>
                <w:bCs w:val="0"/>
                <w:color w:val="000000"/>
                <w:sz w:val="18"/>
                <w:szCs w:val="18"/>
                <w:lang w:val="es-MX"/>
              </w:rPr>
              <w:t>Cualitativa dicotómica</w:t>
            </w:r>
          </w:p>
        </w:tc>
        <w:tc>
          <w:tcPr>
            <w:tcW w:w="588" w:type="pct"/>
          </w:tcPr>
          <w:p w14:paraId="736C3596" w14:textId="77777777" w:rsidR="000C3D4F" w:rsidRPr="000C3D4F" w:rsidRDefault="000C3D4F" w:rsidP="009532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0C3D4F">
              <w:rPr>
                <w:rFonts w:ascii="Arial" w:hAnsi="Arial" w:cs="Arial"/>
                <w:b w:val="0"/>
                <w:bCs w:val="0"/>
                <w:color w:val="000000"/>
                <w:sz w:val="18"/>
                <w:szCs w:val="18"/>
              </w:rPr>
              <w:t xml:space="preserve">0= </w:t>
            </w:r>
            <w:proofErr w:type="spellStart"/>
            <w:r w:rsidRPr="000C3D4F">
              <w:rPr>
                <w:rFonts w:ascii="Arial" w:hAnsi="Arial" w:cs="Arial"/>
                <w:b w:val="0"/>
                <w:bCs w:val="0"/>
                <w:color w:val="000000"/>
                <w:sz w:val="18"/>
                <w:szCs w:val="18"/>
              </w:rPr>
              <w:t>Ausencia</w:t>
            </w:r>
            <w:proofErr w:type="spellEnd"/>
          </w:p>
          <w:p w14:paraId="1950B9D3" w14:textId="77777777" w:rsidR="000C3D4F" w:rsidRPr="000C3D4F" w:rsidRDefault="000C3D4F" w:rsidP="009532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0C3D4F">
              <w:rPr>
                <w:rFonts w:ascii="Arial" w:hAnsi="Arial" w:cs="Arial"/>
                <w:b w:val="0"/>
                <w:bCs w:val="0"/>
                <w:color w:val="000000"/>
                <w:sz w:val="18"/>
                <w:szCs w:val="18"/>
              </w:rPr>
              <w:t>1= Presencia</w:t>
            </w:r>
          </w:p>
        </w:tc>
      </w:tr>
    </w:tbl>
    <w:p w14:paraId="317848FD" w14:textId="77777777" w:rsidR="00D519E9" w:rsidRDefault="00D519E9" w:rsidP="002E49D6">
      <w:pPr>
        <w:pStyle w:val="Caption"/>
        <w:keepNext/>
        <w:rPr>
          <w:rFonts w:ascii="Arial" w:hAnsi="Arial" w:cs="Arial"/>
          <w:b/>
          <w:bCs/>
          <w:i w:val="0"/>
          <w:iCs w:val="0"/>
          <w:color w:val="auto"/>
          <w:sz w:val="24"/>
          <w:szCs w:val="24"/>
          <w:lang w:val="es-ES"/>
        </w:rPr>
      </w:pPr>
    </w:p>
    <w:p w14:paraId="1514AD49" w14:textId="383EC5D3" w:rsidR="002E49D6" w:rsidRPr="001B6E40" w:rsidRDefault="002E49D6" w:rsidP="002E49D6">
      <w:pPr>
        <w:pStyle w:val="Caption"/>
        <w:keepNext/>
        <w:rPr>
          <w:i w:val="0"/>
          <w:iCs w:val="0"/>
        </w:rPr>
      </w:pPr>
      <w:r w:rsidRPr="001B6E40">
        <w:rPr>
          <w:rFonts w:ascii="Arial" w:hAnsi="Arial" w:cs="Arial"/>
          <w:b/>
          <w:bCs/>
          <w:i w:val="0"/>
          <w:iCs w:val="0"/>
          <w:color w:val="auto"/>
          <w:sz w:val="24"/>
          <w:szCs w:val="24"/>
          <w:lang w:val="es-ES"/>
        </w:rPr>
        <w:t xml:space="preserve">Tabla </w:t>
      </w:r>
      <w:r w:rsidRPr="001B6E40">
        <w:rPr>
          <w:rFonts w:ascii="Arial" w:hAnsi="Arial" w:cs="Arial"/>
          <w:b/>
          <w:bCs/>
          <w:i w:val="0"/>
          <w:iCs w:val="0"/>
          <w:color w:val="auto"/>
          <w:sz w:val="24"/>
          <w:szCs w:val="24"/>
          <w:lang w:val="es-ES"/>
        </w:rPr>
        <w:fldChar w:fldCharType="begin"/>
      </w:r>
      <w:r w:rsidRPr="001B6E40">
        <w:rPr>
          <w:rFonts w:ascii="Arial" w:hAnsi="Arial" w:cs="Arial"/>
          <w:b/>
          <w:bCs/>
          <w:i w:val="0"/>
          <w:iCs w:val="0"/>
          <w:color w:val="auto"/>
          <w:sz w:val="24"/>
          <w:szCs w:val="24"/>
          <w:lang w:val="es-ES"/>
        </w:rPr>
        <w:instrText xml:space="preserve"> SEQ Tabla \* ARABIC </w:instrText>
      </w:r>
      <w:r w:rsidRPr="001B6E40">
        <w:rPr>
          <w:rFonts w:ascii="Arial" w:hAnsi="Arial" w:cs="Arial"/>
          <w:b/>
          <w:bCs/>
          <w:i w:val="0"/>
          <w:iCs w:val="0"/>
          <w:color w:val="auto"/>
          <w:sz w:val="24"/>
          <w:szCs w:val="24"/>
          <w:lang w:val="es-ES"/>
        </w:rPr>
        <w:fldChar w:fldCharType="separate"/>
      </w:r>
      <w:r w:rsidR="00026D67">
        <w:rPr>
          <w:rFonts w:ascii="Arial" w:hAnsi="Arial" w:cs="Arial"/>
          <w:b/>
          <w:bCs/>
          <w:i w:val="0"/>
          <w:iCs w:val="0"/>
          <w:noProof/>
          <w:color w:val="auto"/>
          <w:sz w:val="24"/>
          <w:szCs w:val="24"/>
          <w:lang w:val="es-ES"/>
        </w:rPr>
        <w:t>3</w:t>
      </w:r>
      <w:r w:rsidRPr="001B6E40">
        <w:rPr>
          <w:rFonts w:ascii="Arial" w:hAnsi="Arial" w:cs="Arial"/>
          <w:b/>
          <w:bCs/>
          <w:i w:val="0"/>
          <w:iCs w:val="0"/>
          <w:color w:val="auto"/>
          <w:sz w:val="24"/>
          <w:szCs w:val="24"/>
          <w:lang w:val="es-ES"/>
        </w:rPr>
        <w:fldChar w:fldCharType="end"/>
      </w:r>
      <w:r w:rsidRPr="001B6E40">
        <w:rPr>
          <w:rFonts w:ascii="Arial" w:hAnsi="Arial" w:cs="Arial"/>
          <w:b/>
          <w:bCs/>
          <w:i w:val="0"/>
          <w:iCs w:val="0"/>
          <w:color w:val="auto"/>
          <w:sz w:val="24"/>
          <w:szCs w:val="24"/>
          <w:lang w:val="es-ES"/>
        </w:rPr>
        <w:t>. Variables Confusoras (intervenciones)</w:t>
      </w:r>
    </w:p>
    <w:tbl>
      <w:tblPr>
        <w:tblStyle w:val="PlainTable4"/>
        <w:tblW w:w="5481" w:type="pct"/>
        <w:tblLayout w:type="fixed"/>
        <w:tblLook w:val="04A0" w:firstRow="1" w:lastRow="0" w:firstColumn="1" w:lastColumn="0" w:noHBand="0" w:noVBand="1"/>
      </w:tblPr>
      <w:tblGrid>
        <w:gridCol w:w="1740"/>
        <w:gridCol w:w="5819"/>
        <w:gridCol w:w="1441"/>
        <w:gridCol w:w="1260"/>
      </w:tblGrid>
      <w:tr w:rsidR="00243174" w:rsidRPr="008B4CAA" w14:paraId="07F44629" w14:textId="77777777" w:rsidTr="00612AC8">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848" w:type="pct"/>
          </w:tcPr>
          <w:p w14:paraId="76132ADA" w14:textId="77777777" w:rsidR="00243174" w:rsidRPr="008B4CAA" w:rsidRDefault="00243174" w:rsidP="00D9312C">
            <w:pPr>
              <w:spacing w:line="360" w:lineRule="auto"/>
              <w:rPr>
                <w:rFonts w:ascii="Arial" w:hAnsi="Arial" w:cs="Arial"/>
                <w:sz w:val="18"/>
                <w:szCs w:val="18"/>
              </w:rPr>
            </w:pPr>
            <w:r w:rsidRPr="008B4CAA">
              <w:rPr>
                <w:rFonts w:ascii="Arial" w:hAnsi="Arial" w:cs="Arial"/>
                <w:sz w:val="18"/>
                <w:szCs w:val="18"/>
              </w:rPr>
              <w:t>Variable</w:t>
            </w:r>
          </w:p>
        </w:tc>
        <w:tc>
          <w:tcPr>
            <w:tcW w:w="2835" w:type="pct"/>
          </w:tcPr>
          <w:p w14:paraId="585FE8D3" w14:textId="77777777" w:rsidR="00243174" w:rsidRPr="008B4CAA" w:rsidRDefault="00243174" w:rsidP="00D9312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B4CAA">
              <w:rPr>
                <w:rFonts w:ascii="Arial" w:hAnsi="Arial" w:cs="Arial"/>
                <w:sz w:val="18"/>
                <w:szCs w:val="18"/>
              </w:rPr>
              <w:t>Conceptualización</w:t>
            </w:r>
          </w:p>
        </w:tc>
        <w:tc>
          <w:tcPr>
            <w:tcW w:w="702" w:type="pct"/>
          </w:tcPr>
          <w:p w14:paraId="7273DBC3" w14:textId="77777777" w:rsidR="00243174" w:rsidRPr="008B4CAA" w:rsidRDefault="00243174" w:rsidP="00D9312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B4CAA">
              <w:rPr>
                <w:rFonts w:ascii="Arial" w:hAnsi="Arial" w:cs="Arial"/>
                <w:sz w:val="18"/>
                <w:szCs w:val="18"/>
              </w:rPr>
              <w:t>Tipo</w:t>
            </w:r>
          </w:p>
        </w:tc>
        <w:tc>
          <w:tcPr>
            <w:tcW w:w="614" w:type="pct"/>
          </w:tcPr>
          <w:p w14:paraId="61C2C45E" w14:textId="77777777" w:rsidR="00243174" w:rsidRPr="008B4CAA" w:rsidRDefault="00243174" w:rsidP="00D9312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B4CAA">
              <w:rPr>
                <w:rFonts w:ascii="Arial" w:hAnsi="Arial" w:cs="Arial"/>
                <w:sz w:val="18"/>
                <w:szCs w:val="18"/>
              </w:rPr>
              <w:t>Unidad</w:t>
            </w:r>
          </w:p>
        </w:tc>
      </w:tr>
      <w:tr w:rsidR="00E77C34" w:rsidRPr="008B4CAA" w14:paraId="5B4F6262" w14:textId="77777777" w:rsidTr="00612AC8">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848" w:type="pct"/>
          </w:tcPr>
          <w:p w14:paraId="4134379C" w14:textId="77777777" w:rsidR="00E77C34" w:rsidRPr="008B4CAA" w:rsidRDefault="00E77C34" w:rsidP="00D9312C">
            <w:pPr>
              <w:spacing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Grupo control</w:t>
            </w:r>
            <w:r w:rsidRPr="008B4CAA">
              <w:rPr>
                <w:rFonts w:ascii="Arial" w:eastAsia="Times New Roman" w:hAnsi="Arial" w:cs="Arial"/>
                <w:color w:val="000000"/>
                <w:sz w:val="18"/>
                <w:szCs w:val="18"/>
                <w:lang w:eastAsia="es-MX"/>
              </w:rPr>
              <w:t xml:space="preserve"> </w:t>
            </w:r>
          </w:p>
          <w:p w14:paraId="0B4635AA" w14:textId="77777777" w:rsidR="00E77C34" w:rsidRPr="008B4CAA" w:rsidRDefault="00E77C34" w:rsidP="00D9312C">
            <w:pPr>
              <w:spacing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(GC</w:t>
            </w:r>
            <w:r w:rsidRPr="008B4CAA">
              <w:rPr>
                <w:rFonts w:ascii="Arial" w:eastAsia="Times New Roman" w:hAnsi="Arial" w:cs="Arial"/>
                <w:color w:val="000000"/>
                <w:sz w:val="18"/>
                <w:szCs w:val="18"/>
                <w:lang w:eastAsia="es-MX"/>
              </w:rPr>
              <w:t>)</w:t>
            </w:r>
          </w:p>
        </w:tc>
        <w:tc>
          <w:tcPr>
            <w:tcW w:w="2835" w:type="pct"/>
            <w:hideMark/>
          </w:tcPr>
          <w:p w14:paraId="1F857401" w14:textId="237D4435" w:rsidR="00E77C34" w:rsidRPr="0057231F" w:rsidRDefault="00E77C34" w:rsidP="00D9312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Pr>
                <w:rFonts w:ascii="Arial" w:hAnsi="Arial" w:cs="Arial"/>
                <w:sz w:val="18"/>
                <w:lang w:val="es-MX"/>
              </w:rPr>
              <w:t>R</w:t>
            </w:r>
            <w:r w:rsidRPr="00243174">
              <w:rPr>
                <w:rFonts w:ascii="Arial" w:hAnsi="Arial" w:cs="Arial"/>
                <w:sz w:val="18"/>
                <w:lang w:val="es-MX"/>
              </w:rPr>
              <w:t>utina de ejercicio de resistencia</w:t>
            </w:r>
            <w:r>
              <w:rPr>
                <w:rFonts w:ascii="Arial" w:hAnsi="Arial" w:cs="Arial"/>
                <w:sz w:val="18"/>
                <w:lang w:val="es-MX"/>
              </w:rPr>
              <w:t xml:space="preserve"> basado en recomendaciones de actividad física</w:t>
            </w:r>
            <w:r w:rsidRPr="00243174">
              <w:rPr>
                <w:rFonts w:ascii="Arial" w:hAnsi="Arial" w:cs="Arial"/>
                <w:sz w:val="18"/>
                <w:lang w:val="es-MX"/>
              </w:rPr>
              <w:t>.</w:t>
            </w:r>
          </w:p>
        </w:tc>
        <w:tc>
          <w:tcPr>
            <w:tcW w:w="702" w:type="pct"/>
            <w:vMerge w:val="restart"/>
            <w:vAlign w:val="center"/>
            <w:hideMark/>
          </w:tcPr>
          <w:p w14:paraId="5DC01B82" w14:textId="77777777" w:rsidR="00E77C34" w:rsidRPr="008B4CAA" w:rsidRDefault="00E77C34" w:rsidP="00D9312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proofErr w:type="spellStart"/>
            <w:r w:rsidRPr="008B4CAA">
              <w:rPr>
                <w:rFonts w:ascii="Arial" w:eastAsia="Times New Roman" w:hAnsi="Arial" w:cs="Arial"/>
                <w:color w:val="000000"/>
                <w:sz w:val="18"/>
                <w:szCs w:val="18"/>
                <w:lang w:eastAsia="es-MX"/>
              </w:rPr>
              <w:t>Cualitativa</w:t>
            </w:r>
            <w:proofErr w:type="spellEnd"/>
            <w:r w:rsidRPr="008B4CAA">
              <w:rPr>
                <w:rFonts w:ascii="Arial" w:eastAsia="Times New Roman" w:hAnsi="Arial" w:cs="Arial"/>
                <w:color w:val="000000"/>
                <w:sz w:val="18"/>
                <w:szCs w:val="18"/>
                <w:lang w:eastAsia="es-MX"/>
              </w:rPr>
              <w:t xml:space="preserve"> </w:t>
            </w:r>
            <w:r w:rsidRPr="008B4CAA">
              <w:rPr>
                <w:rFonts w:ascii="Arial" w:eastAsia="Times New Roman" w:hAnsi="Arial" w:cs="Arial"/>
                <w:color w:val="000000"/>
                <w:sz w:val="18"/>
                <w:szCs w:val="18"/>
                <w:lang w:eastAsia="es-MX"/>
              </w:rPr>
              <w:br/>
              <w:t>Nominal</w:t>
            </w:r>
            <w:r w:rsidRPr="008B4CAA">
              <w:rPr>
                <w:rFonts w:ascii="Arial" w:eastAsia="Times New Roman" w:hAnsi="Arial" w:cs="Arial"/>
                <w:color w:val="000000"/>
                <w:sz w:val="18"/>
                <w:szCs w:val="18"/>
                <w:lang w:eastAsia="es-MX"/>
              </w:rPr>
              <w:br/>
              <w:t>Independiente</w:t>
            </w:r>
          </w:p>
        </w:tc>
        <w:tc>
          <w:tcPr>
            <w:tcW w:w="614" w:type="pct"/>
            <w:hideMark/>
          </w:tcPr>
          <w:p w14:paraId="2DEC3F91" w14:textId="77777777" w:rsidR="00E77C34" w:rsidRPr="008B4CAA" w:rsidRDefault="00E77C34" w:rsidP="00D9312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8B4CAA">
              <w:rPr>
                <w:rFonts w:ascii="Arial" w:eastAsia="Times New Roman" w:hAnsi="Arial" w:cs="Arial"/>
                <w:color w:val="000000"/>
                <w:sz w:val="18"/>
                <w:szCs w:val="18"/>
                <w:lang w:eastAsia="es-MX"/>
              </w:rPr>
              <w:t>Grupo 1</w:t>
            </w:r>
          </w:p>
        </w:tc>
      </w:tr>
      <w:tr w:rsidR="00E77C34" w:rsidRPr="008B4CAA" w14:paraId="40CA9655" w14:textId="77777777" w:rsidTr="00612AC8">
        <w:trPr>
          <w:trHeight w:val="686"/>
        </w:trPr>
        <w:tc>
          <w:tcPr>
            <w:cnfStyle w:val="001000000000" w:firstRow="0" w:lastRow="0" w:firstColumn="1" w:lastColumn="0" w:oddVBand="0" w:evenVBand="0" w:oddHBand="0" w:evenHBand="0" w:firstRowFirstColumn="0" w:firstRowLastColumn="0" w:lastRowFirstColumn="0" w:lastRowLastColumn="0"/>
            <w:tcW w:w="848" w:type="pct"/>
          </w:tcPr>
          <w:p w14:paraId="0F7E3919" w14:textId="56EED564" w:rsidR="00E77C34" w:rsidRPr="00243174" w:rsidRDefault="00E77C34" w:rsidP="00D9312C">
            <w:pPr>
              <w:spacing w:line="360" w:lineRule="auto"/>
              <w:rPr>
                <w:rFonts w:ascii="Arial" w:eastAsia="Times New Roman" w:hAnsi="Arial" w:cs="Arial"/>
                <w:b w:val="0"/>
                <w:bCs w:val="0"/>
                <w:color w:val="000000"/>
                <w:sz w:val="18"/>
                <w:szCs w:val="18"/>
                <w:lang w:val="es-MX" w:eastAsia="es-MX"/>
              </w:rPr>
            </w:pPr>
            <w:r w:rsidRPr="0057231F">
              <w:rPr>
                <w:rFonts w:ascii="Arial" w:eastAsia="Times New Roman" w:hAnsi="Arial" w:cs="Arial"/>
                <w:color w:val="000000"/>
                <w:sz w:val="18"/>
                <w:szCs w:val="18"/>
                <w:lang w:val="es-MX" w:eastAsia="es-MX"/>
              </w:rPr>
              <w:t xml:space="preserve">Grupo </w:t>
            </w:r>
            <w:r>
              <w:rPr>
                <w:rFonts w:ascii="Arial" w:eastAsia="Times New Roman" w:hAnsi="Arial" w:cs="Arial"/>
                <w:color w:val="000000"/>
                <w:sz w:val="18"/>
                <w:szCs w:val="18"/>
                <w:lang w:val="es-MX" w:eastAsia="es-MX"/>
              </w:rPr>
              <w:t>Ejercicio de Resistencia (GER)</w:t>
            </w:r>
          </w:p>
        </w:tc>
        <w:tc>
          <w:tcPr>
            <w:tcW w:w="2835" w:type="pct"/>
            <w:hideMark/>
          </w:tcPr>
          <w:p w14:paraId="78613258" w14:textId="7F163E35" w:rsidR="00E77C34" w:rsidRPr="0057231F" w:rsidRDefault="00E77C34" w:rsidP="00D9312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MX" w:eastAsia="es-MX"/>
              </w:rPr>
            </w:pPr>
            <w:r w:rsidRPr="00E77C34">
              <w:rPr>
                <w:rFonts w:ascii="Arial" w:hAnsi="Arial" w:cs="Arial"/>
                <w:sz w:val="18"/>
                <w:lang w:val="es-MX"/>
              </w:rPr>
              <w:t>Esta rutina fue individualizada y adaptada para cada paciente, en donde se utilizaron implementos de peso extra para fortalecer grupos musculares principales</w:t>
            </w:r>
            <w:r>
              <w:rPr>
                <w:rFonts w:ascii="Arial" w:hAnsi="Arial" w:cs="Arial"/>
                <w:sz w:val="18"/>
                <w:lang w:val="es-MX"/>
              </w:rPr>
              <w:t>.</w:t>
            </w:r>
          </w:p>
        </w:tc>
        <w:tc>
          <w:tcPr>
            <w:tcW w:w="702" w:type="pct"/>
            <w:vMerge/>
            <w:hideMark/>
          </w:tcPr>
          <w:p w14:paraId="43D55800" w14:textId="77777777" w:rsidR="00E77C34" w:rsidRPr="0057231F" w:rsidRDefault="00E77C34" w:rsidP="00D9312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MX" w:eastAsia="es-MX"/>
              </w:rPr>
            </w:pPr>
          </w:p>
        </w:tc>
        <w:tc>
          <w:tcPr>
            <w:tcW w:w="614" w:type="pct"/>
            <w:hideMark/>
          </w:tcPr>
          <w:p w14:paraId="6A9DBF8E" w14:textId="77777777" w:rsidR="00E77C34" w:rsidRPr="008B4CAA" w:rsidRDefault="00E77C34" w:rsidP="00D9312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8B4CAA">
              <w:rPr>
                <w:rFonts w:ascii="Arial" w:eastAsia="Times New Roman" w:hAnsi="Arial" w:cs="Arial"/>
                <w:color w:val="000000"/>
                <w:sz w:val="18"/>
                <w:szCs w:val="18"/>
                <w:lang w:eastAsia="es-MX"/>
              </w:rPr>
              <w:t>Grupo 2</w:t>
            </w:r>
          </w:p>
        </w:tc>
      </w:tr>
      <w:tr w:rsidR="00E77C34" w:rsidRPr="00E77C34" w14:paraId="21F69EE4" w14:textId="77777777" w:rsidTr="00612AC8">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48" w:type="pct"/>
          </w:tcPr>
          <w:p w14:paraId="586DEF70" w14:textId="231094EF" w:rsidR="00E77C34" w:rsidRPr="0057231F" w:rsidRDefault="00E77C34" w:rsidP="00D9312C">
            <w:pPr>
              <w:spacing w:line="36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Grupo de Ejercicio Cruzado (GEC)</w:t>
            </w:r>
          </w:p>
        </w:tc>
        <w:tc>
          <w:tcPr>
            <w:tcW w:w="2835" w:type="pct"/>
          </w:tcPr>
          <w:p w14:paraId="0C878723" w14:textId="144A7310" w:rsidR="00E77C34" w:rsidRPr="00FE4BFC" w:rsidRDefault="00E77C34" w:rsidP="00612AC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E77C34">
              <w:rPr>
                <w:rFonts w:ascii="Arial" w:hAnsi="Arial" w:cs="Arial"/>
                <w:sz w:val="18"/>
                <w:lang w:val="es-MX"/>
              </w:rPr>
              <w:t>Rutina de ejercicios dinámicos utilizando implementos sin peso extra que permitan mejorar la estabilidad, la movilidad articular y la fortaleza generalizada del cuerpo.</w:t>
            </w:r>
          </w:p>
        </w:tc>
        <w:tc>
          <w:tcPr>
            <w:tcW w:w="702" w:type="pct"/>
            <w:vMerge/>
          </w:tcPr>
          <w:p w14:paraId="46580F53" w14:textId="77777777" w:rsidR="00E77C34" w:rsidRPr="0057231F" w:rsidRDefault="00E77C34" w:rsidP="00D9312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MX" w:eastAsia="es-MX"/>
              </w:rPr>
            </w:pPr>
          </w:p>
        </w:tc>
        <w:tc>
          <w:tcPr>
            <w:tcW w:w="614" w:type="pct"/>
          </w:tcPr>
          <w:p w14:paraId="3B50B32D" w14:textId="66AA4583" w:rsidR="00E77C34" w:rsidRPr="00E77C34" w:rsidRDefault="00E77C34" w:rsidP="00D9312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Grupo 3</w:t>
            </w:r>
          </w:p>
        </w:tc>
      </w:tr>
    </w:tbl>
    <w:p w14:paraId="1448010E" w14:textId="77777777" w:rsidR="00243174" w:rsidRPr="008F63E3" w:rsidRDefault="00243174" w:rsidP="00D9312C">
      <w:pPr>
        <w:spacing w:line="360" w:lineRule="auto"/>
        <w:jc w:val="both"/>
        <w:rPr>
          <w:rFonts w:ascii="Arial" w:hAnsi="Arial" w:cs="Arial"/>
          <w:b/>
          <w:bCs/>
          <w:lang w:val="es-MX"/>
        </w:rPr>
      </w:pPr>
    </w:p>
    <w:p w14:paraId="43234714" w14:textId="25CDD0C0" w:rsidR="00E74394" w:rsidRPr="00C44CF6" w:rsidRDefault="00E74394" w:rsidP="00D9312C">
      <w:pPr>
        <w:spacing w:line="360" w:lineRule="auto"/>
        <w:jc w:val="both"/>
        <w:rPr>
          <w:rFonts w:ascii="Arial" w:hAnsi="Arial" w:cs="Arial"/>
          <w:b/>
          <w:bCs/>
          <w:lang w:val="es-MX"/>
        </w:rPr>
      </w:pPr>
      <w:r w:rsidRPr="008F63E3">
        <w:rPr>
          <w:rFonts w:ascii="Arial" w:hAnsi="Arial" w:cs="Arial"/>
          <w:b/>
          <w:bCs/>
          <w:lang w:val="es-MX"/>
        </w:rPr>
        <w:lastRenderedPageBreak/>
        <w:tab/>
        <w:t>Análisis estadístico</w:t>
      </w:r>
    </w:p>
    <w:p w14:paraId="4E1DF44B" w14:textId="1AFCB6ED" w:rsidR="00FF3081" w:rsidRPr="007A10B8" w:rsidRDefault="00A325C1" w:rsidP="00D9312C">
      <w:pPr>
        <w:spacing w:line="360" w:lineRule="auto"/>
        <w:jc w:val="both"/>
        <w:rPr>
          <w:rFonts w:ascii="Arial" w:hAnsi="Arial" w:cs="Arial"/>
          <w:lang w:val="es-MX"/>
        </w:rPr>
      </w:pPr>
      <w:r w:rsidRPr="00A325C1">
        <w:rPr>
          <w:rFonts w:ascii="Arial" w:hAnsi="Arial" w:cs="Arial"/>
          <w:lang w:val="es-MX"/>
        </w:rPr>
        <w:t xml:space="preserve">Para </w:t>
      </w:r>
      <w:r>
        <w:rPr>
          <w:rFonts w:ascii="Arial" w:hAnsi="Arial" w:cs="Arial"/>
          <w:lang w:val="es-MX"/>
        </w:rPr>
        <w:t xml:space="preserve">comprobar </w:t>
      </w:r>
      <w:r w:rsidRPr="00A325C1">
        <w:rPr>
          <w:rFonts w:ascii="Arial" w:hAnsi="Arial" w:cs="Arial"/>
          <w:lang w:val="es-MX"/>
        </w:rPr>
        <w:t xml:space="preserve">la respuesta de la pregunta de investigación se realizará una prueba </w:t>
      </w:r>
      <w:r>
        <w:rPr>
          <w:rFonts w:ascii="Arial" w:hAnsi="Arial" w:cs="Arial"/>
          <w:lang w:val="es-MX"/>
        </w:rPr>
        <w:t>de</w:t>
      </w:r>
      <w:r w:rsidR="00FF3081">
        <w:rPr>
          <w:rFonts w:ascii="Arial" w:hAnsi="Arial" w:cs="Arial"/>
          <w:lang w:val="es-MX"/>
        </w:rPr>
        <w:t xml:space="preserve"> Correlación de Pearson</w:t>
      </w:r>
      <w:r w:rsidR="0074775F">
        <w:rPr>
          <w:rFonts w:ascii="Arial" w:hAnsi="Arial" w:cs="Arial"/>
          <w:lang w:val="es-MX"/>
        </w:rPr>
        <w:t>. A</w:t>
      </w:r>
      <w:r w:rsidR="0074775F" w:rsidRPr="0074775F">
        <w:rPr>
          <w:rFonts w:ascii="Arial" w:hAnsi="Arial" w:cs="Arial"/>
          <w:lang w:val="es-MX"/>
        </w:rPr>
        <w:t xml:space="preserve">demás, se </w:t>
      </w:r>
      <w:r w:rsidR="0074775F">
        <w:rPr>
          <w:rFonts w:ascii="Arial" w:hAnsi="Arial" w:cs="Arial"/>
          <w:lang w:val="es-MX"/>
        </w:rPr>
        <w:t>realizará</w:t>
      </w:r>
      <w:r w:rsidR="0074775F" w:rsidRPr="0074775F">
        <w:rPr>
          <w:rFonts w:ascii="Arial" w:hAnsi="Arial" w:cs="Arial"/>
          <w:lang w:val="es-MX"/>
        </w:rPr>
        <w:t xml:space="preserve"> un análisis de regresión logística binaria para evaluar la asociación entre el nivel de desempeño físico y </w:t>
      </w:r>
      <w:r w:rsidR="001B5ED8">
        <w:rPr>
          <w:rFonts w:ascii="Arial" w:hAnsi="Arial" w:cs="Arial"/>
          <w:lang w:val="es-MX"/>
        </w:rPr>
        <w:t>la presencia</w:t>
      </w:r>
      <w:r w:rsidR="0074775F" w:rsidRPr="0074775F">
        <w:rPr>
          <w:rFonts w:ascii="Arial" w:hAnsi="Arial" w:cs="Arial"/>
          <w:lang w:val="es-MX"/>
        </w:rPr>
        <w:t xml:space="preserve"> de recaída. La variable dependiente fue la recaída (sí/no), y como variable independiente se incluyó el desempeño físico global (bueno/malo). Se calcularon razones de momios (</w:t>
      </w:r>
      <w:r w:rsidR="0074775F">
        <w:rPr>
          <w:rFonts w:ascii="Arial" w:hAnsi="Arial" w:cs="Arial"/>
          <w:lang w:val="es-MX"/>
        </w:rPr>
        <w:t>RM</w:t>
      </w:r>
      <w:r w:rsidR="0074775F" w:rsidRPr="0074775F">
        <w:rPr>
          <w:rFonts w:ascii="Arial" w:hAnsi="Arial" w:cs="Arial"/>
          <w:lang w:val="es-MX"/>
        </w:rPr>
        <w:t>) con sus respectivos intervalos de confianza del 95% (IC 95%). La significancia estadística se estableció en p &lt; 0.05</w:t>
      </w:r>
      <w:r w:rsidR="007A10B8">
        <w:rPr>
          <w:rFonts w:ascii="Arial" w:hAnsi="Arial" w:cs="Arial"/>
          <w:lang w:val="es-MX"/>
        </w:rPr>
        <w:t xml:space="preserve"> </w:t>
      </w:r>
    </w:p>
    <w:p w14:paraId="625A5D73" w14:textId="57DAC6CC" w:rsidR="00A325C1" w:rsidRDefault="00A325C1" w:rsidP="00D9312C">
      <w:pPr>
        <w:spacing w:line="360" w:lineRule="auto"/>
        <w:jc w:val="both"/>
        <w:rPr>
          <w:rFonts w:ascii="Arial" w:hAnsi="Arial" w:cs="Arial"/>
          <w:lang w:val="es-MX"/>
        </w:rPr>
      </w:pPr>
      <w:r w:rsidRPr="00A325C1">
        <w:rPr>
          <w:rFonts w:ascii="Arial" w:hAnsi="Arial" w:cs="Arial"/>
          <w:lang w:val="es-MX"/>
        </w:rPr>
        <w:t xml:space="preserve">Para la descripción de las características demográficas de los pacientes se utilizará estadística descriptiva sobre las variables basales compuesta por pruebas </w:t>
      </w:r>
      <w:r w:rsidR="0097780B">
        <w:rPr>
          <w:rFonts w:ascii="Arial" w:hAnsi="Arial" w:cs="Arial"/>
          <w:lang w:val="es-MX"/>
        </w:rPr>
        <w:t>U de Mann-Whitney</w:t>
      </w:r>
      <w:r w:rsidRPr="00A325C1">
        <w:rPr>
          <w:rFonts w:ascii="Arial" w:hAnsi="Arial" w:cs="Arial"/>
          <w:lang w:val="es-MX"/>
        </w:rPr>
        <w:t xml:space="preserve"> para variables cuantitativas y pruebas de Chi cuadrada para variables categóricas, con la finalidad de </w:t>
      </w:r>
      <w:r>
        <w:rPr>
          <w:rFonts w:ascii="Arial" w:hAnsi="Arial" w:cs="Arial"/>
          <w:lang w:val="es-MX"/>
        </w:rPr>
        <w:t>comprobar</w:t>
      </w:r>
      <w:r w:rsidRPr="00A325C1">
        <w:rPr>
          <w:rFonts w:ascii="Arial" w:hAnsi="Arial" w:cs="Arial"/>
          <w:lang w:val="es-MX"/>
        </w:rPr>
        <w:t xml:space="preserve"> </w:t>
      </w:r>
      <w:r>
        <w:rPr>
          <w:rFonts w:ascii="Arial" w:hAnsi="Arial" w:cs="Arial"/>
          <w:lang w:val="es-MX"/>
        </w:rPr>
        <w:t>la</w:t>
      </w:r>
      <w:r w:rsidRPr="00A325C1">
        <w:rPr>
          <w:rFonts w:ascii="Arial" w:hAnsi="Arial" w:cs="Arial"/>
          <w:lang w:val="es-MX"/>
        </w:rPr>
        <w:t xml:space="preserve"> homogeneidad de la población</w:t>
      </w:r>
      <w:r>
        <w:rPr>
          <w:rFonts w:ascii="Arial" w:hAnsi="Arial" w:cs="Arial"/>
          <w:lang w:val="es-MX"/>
        </w:rPr>
        <w:t xml:space="preserve"> al inicio del estudio</w:t>
      </w:r>
      <w:r w:rsidRPr="00A325C1">
        <w:rPr>
          <w:rFonts w:ascii="Arial" w:hAnsi="Arial" w:cs="Arial"/>
          <w:lang w:val="es-MX"/>
        </w:rPr>
        <w:t xml:space="preserve">. </w:t>
      </w:r>
    </w:p>
    <w:p w14:paraId="39F351B3" w14:textId="644D2F3F" w:rsidR="00C44CF6" w:rsidRPr="00A325C1" w:rsidRDefault="00C44CF6" w:rsidP="00D9312C">
      <w:pPr>
        <w:spacing w:line="360" w:lineRule="auto"/>
        <w:jc w:val="both"/>
        <w:rPr>
          <w:rFonts w:ascii="Arial" w:hAnsi="Arial" w:cs="Arial"/>
          <w:lang w:val="es-MX"/>
        </w:rPr>
      </w:pPr>
      <w:r w:rsidRPr="00C44CF6">
        <w:rPr>
          <w:rFonts w:ascii="Arial" w:hAnsi="Arial" w:cs="Arial"/>
          <w:lang w:val="es-MX"/>
        </w:rPr>
        <w:t xml:space="preserve">La normalidad de las variables será evaluada utilizando la prueba de Shapiro-Wilk, y la prueba de Levene se </w:t>
      </w:r>
      <w:r>
        <w:rPr>
          <w:rFonts w:ascii="Arial" w:hAnsi="Arial" w:cs="Arial"/>
          <w:lang w:val="es-MX"/>
        </w:rPr>
        <w:t>utilizará</w:t>
      </w:r>
      <w:r w:rsidRPr="00C44CF6">
        <w:rPr>
          <w:rFonts w:ascii="Arial" w:hAnsi="Arial" w:cs="Arial"/>
          <w:lang w:val="es-MX"/>
        </w:rPr>
        <w:t xml:space="preserve"> para verificar la homogeneidad de varianzas entre los grupos</w:t>
      </w:r>
      <w:r>
        <w:rPr>
          <w:rFonts w:ascii="Arial" w:hAnsi="Arial" w:cs="Arial"/>
          <w:lang w:val="es-MX"/>
        </w:rPr>
        <w:t xml:space="preserve"> al inicio del estudio</w:t>
      </w:r>
      <w:r w:rsidRPr="00C44CF6">
        <w:rPr>
          <w:rFonts w:ascii="Arial" w:hAnsi="Arial" w:cs="Arial"/>
          <w:lang w:val="es-MX"/>
        </w:rPr>
        <w:t>.</w:t>
      </w:r>
    </w:p>
    <w:p w14:paraId="1318DBFB" w14:textId="15576684" w:rsidR="007A10B8" w:rsidRDefault="00C44CF6" w:rsidP="00D9312C">
      <w:pPr>
        <w:spacing w:line="360" w:lineRule="auto"/>
        <w:jc w:val="both"/>
        <w:rPr>
          <w:rFonts w:ascii="Arial" w:hAnsi="Arial" w:cs="Arial"/>
          <w:lang w:val="es-MX"/>
        </w:rPr>
      </w:pPr>
      <w:r w:rsidRPr="00C44CF6">
        <w:rPr>
          <w:rFonts w:ascii="Arial" w:hAnsi="Arial" w:cs="Arial"/>
          <w:lang w:val="es-MX"/>
        </w:rPr>
        <w:t>Además, se calcularán medidas de tendencia central y dispersión para las variables cuantitativas, y frecuencias absolutas y relativas para las variables categóricas. Se considerará un valor de p &lt; 0.05 como estadísticamente significativo. El análisis se llevará a cabo utilizando el software estadístico SPSS versión</w:t>
      </w:r>
      <w:r>
        <w:rPr>
          <w:rFonts w:ascii="Arial" w:hAnsi="Arial" w:cs="Arial"/>
          <w:lang w:val="es-MX"/>
        </w:rPr>
        <w:t xml:space="preserve"> 25 (IBM)</w:t>
      </w:r>
    </w:p>
    <w:p w14:paraId="74457DC8" w14:textId="3558F85E" w:rsidR="000C1A3D" w:rsidRDefault="007E4439" w:rsidP="00D9312C">
      <w:pPr>
        <w:spacing w:line="360" w:lineRule="auto"/>
        <w:jc w:val="both"/>
        <w:rPr>
          <w:rFonts w:ascii="Arial" w:hAnsi="Arial" w:cs="Arial"/>
          <w:b/>
          <w:bCs/>
          <w:lang w:val="es-MX"/>
        </w:rPr>
      </w:pPr>
      <w:r>
        <w:rPr>
          <w:rFonts w:ascii="Arial" w:hAnsi="Arial" w:cs="Arial"/>
          <w:b/>
          <w:bCs/>
          <w:lang w:val="es-MX"/>
        </w:rPr>
        <w:t>Resultados</w:t>
      </w:r>
    </w:p>
    <w:p w14:paraId="14A7D424" w14:textId="1A89425A" w:rsidR="002E49D6" w:rsidRDefault="009C143A" w:rsidP="00D9312C">
      <w:pPr>
        <w:spacing w:line="360" w:lineRule="auto"/>
        <w:jc w:val="both"/>
        <w:rPr>
          <w:rFonts w:ascii="Arial" w:hAnsi="Arial" w:cs="Arial"/>
          <w:lang w:val="es-MX"/>
        </w:rPr>
      </w:pPr>
      <w:r>
        <w:rPr>
          <w:rFonts w:ascii="Arial" w:hAnsi="Arial" w:cs="Arial"/>
          <w:lang w:val="es-MX"/>
        </w:rPr>
        <w:t xml:space="preserve">Se analizaron un total de 32 registros clínicos de pacientes ingresados en el departamento de Hematología del Hospital General de México en el periodo de </w:t>
      </w:r>
      <w:r w:rsidRPr="009C143A">
        <w:rPr>
          <w:rFonts w:ascii="Arial" w:hAnsi="Arial" w:cs="Arial"/>
          <w:lang w:val="es-MX"/>
        </w:rPr>
        <w:t>mayo</w:t>
      </w:r>
      <w:r>
        <w:rPr>
          <w:rFonts w:ascii="Arial" w:hAnsi="Arial" w:cs="Arial"/>
          <w:lang w:val="es-MX"/>
        </w:rPr>
        <w:t xml:space="preserve"> 2021 a julio 2022</w:t>
      </w:r>
      <w:r w:rsidRPr="009C143A">
        <w:rPr>
          <w:rFonts w:ascii="Arial" w:hAnsi="Arial" w:cs="Arial"/>
          <w:lang w:val="es-MX"/>
        </w:rPr>
        <w:t>.</w:t>
      </w:r>
      <w:r>
        <w:rPr>
          <w:rFonts w:ascii="Arial" w:hAnsi="Arial" w:cs="Arial"/>
          <w:lang w:val="es-MX"/>
        </w:rPr>
        <w:t xml:space="preserve"> Del total de pacientes incluidos, </w:t>
      </w:r>
      <w:r w:rsidRPr="009C143A">
        <w:rPr>
          <w:rFonts w:ascii="Arial" w:hAnsi="Arial" w:cs="Arial"/>
          <w:lang w:val="es-MX"/>
        </w:rPr>
        <w:t>el 34.4% (n</w:t>
      </w:r>
      <w:r>
        <w:rPr>
          <w:rFonts w:ascii="Arial" w:hAnsi="Arial" w:cs="Arial"/>
          <w:lang w:val="es-MX"/>
        </w:rPr>
        <w:t xml:space="preserve">=11) perteneció al grupo control, 31.3% (n=10) al grupo de entrenamiento de resistencia y </w:t>
      </w:r>
      <w:r w:rsidR="002E49D6">
        <w:rPr>
          <w:rFonts w:ascii="Arial" w:hAnsi="Arial" w:cs="Arial"/>
          <w:lang w:val="es-MX"/>
        </w:rPr>
        <w:t xml:space="preserve">el 34.4% restante (n=11) perteneció al grupo de entrenamiento cruzado. En la </w:t>
      </w:r>
      <w:r w:rsidR="002E49D6" w:rsidRPr="00DB2FDD">
        <w:rPr>
          <w:rFonts w:ascii="Arial" w:hAnsi="Arial" w:cs="Arial"/>
          <w:b/>
          <w:bCs/>
          <w:lang w:val="es-MX"/>
        </w:rPr>
        <w:t xml:space="preserve">Tabla 4 </w:t>
      </w:r>
      <w:r w:rsidR="002E49D6">
        <w:rPr>
          <w:rFonts w:ascii="Arial" w:hAnsi="Arial" w:cs="Arial"/>
          <w:lang w:val="es-MX"/>
        </w:rPr>
        <w:t>se enlistan las características sociodemográficas de los pacientes clasificados por el grupo al que fueron asignados.</w:t>
      </w:r>
    </w:p>
    <w:p w14:paraId="1A1C2DE8" w14:textId="40C32433" w:rsidR="001B6E40" w:rsidRPr="001B6E40" w:rsidRDefault="00E77C34" w:rsidP="001B6E40">
      <w:pPr>
        <w:pStyle w:val="Caption"/>
        <w:keepNext/>
        <w:rPr>
          <w:rFonts w:ascii="Arial" w:hAnsi="Arial" w:cs="Arial"/>
          <w:b/>
          <w:bCs/>
          <w:i w:val="0"/>
          <w:iCs w:val="0"/>
          <w:color w:val="auto"/>
          <w:sz w:val="24"/>
          <w:szCs w:val="24"/>
          <w:lang w:val="es-ES"/>
        </w:rPr>
      </w:pPr>
      <w:r w:rsidRPr="00E77C34">
        <w:rPr>
          <w:rFonts w:ascii="Arial" w:hAnsi="Arial" w:cs="Arial"/>
          <w:noProof/>
        </w:rPr>
        <w:lastRenderedPageBreak/>
        <mc:AlternateContent>
          <mc:Choice Requires="wps">
            <w:drawing>
              <wp:anchor distT="45720" distB="45720" distL="114300" distR="114300" simplePos="0" relativeHeight="251664384" behindDoc="1" locked="0" layoutInCell="1" allowOverlap="1" wp14:anchorId="3644B163" wp14:editId="383DE1E6">
                <wp:simplePos x="0" y="0"/>
                <wp:positionH relativeFrom="column">
                  <wp:posOffset>-92279</wp:posOffset>
                </wp:positionH>
                <wp:positionV relativeFrom="paragraph">
                  <wp:posOffset>3807565</wp:posOffset>
                </wp:positionV>
                <wp:extent cx="6518246" cy="1404620"/>
                <wp:effectExtent l="0" t="0" r="0" b="0"/>
                <wp:wrapNone/>
                <wp:docPr id="378593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46" cy="1404620"/>
                        </a:xfrm>
                        <a:prstGeom prst="rect">
                          <a:avLst/>
                        </a:prstGeom>
                        <a:solidFill>
                          <a:srgbClr val="FFFFFF"/>
                        </a:solidFill>
                        <a:ln w="9525">
                          <a:noFill/>
                          <a:miter lim="800000"/>
                          <a:headEnd/>
                          <a:tailEnd/>
                        </a:ln>
                      </wps:spPr>
                      <wps:txbx>
                        <w:txbxContent>
                          <w:p w14:paraId="6CDE5F9C" w14:textId="5FF1C793" w:rsidR="00E77C34" w:rsidRPr="00E77C34" w:rsidRDefault="00E77C34" w:rsidP="00E77C34">
                            <w:pPr>
                              <w:spacing w:after="0" w:line="360" w:lineRule="auto"/>
                              <w:jc w:val="both"/>
                              <w:rPr>
                                <w:rFonts w:ascii="Arial" w:hAnsi="Arial" w:cs="Arial"/>
                                <w:sz w:val="20"/>
                                <w:szCs w:val="20"/>
                                <w:lang w:val="es-MX"/>
                              </w:rPr>
                            </w:pPr>
                            <w:r w:rsidRPr="00D33E22">
                              <w:rPr>
                                <w:rFonts w:ascii="Arial" w:hAnsi="Arial" w:cs="Arial"/>
                                <w:sz w:val="20"/>
                                <w:szCs w:val="20"/>
                                <w:lang w:val="es-MX"/>
                              </w:rPr>
                              <w:t xml:space="preserve">Los valores se presentan como frecuencias absolutas y porcentajes entre paréntesis. La edad se muestra como mediana (rango). </w:t>
                            </w:r>
                            <w:r w:rsidRPr="00E77C34">
                              <w:rPr>
                                <w:rFonts w:ascii="Arial" w:hAnsi="Arial" w:cs="Arial"/>
                                <w:sz w:val="20"/>
                                <w:szCs w:val="20"/>
                                <w:lang w:val="es-MX"/>
                              </w:rPr>
                              <w:t>El valor de p corresponde a la comparación entre los tres grupos mediante pruebas de exacta de Fisher para variables categóricas y Kruskal-Wallis para variables continuas.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4B163" id="_x0000_t202" coordsize="21600,21600" o:spt="202" path="m,l,21600r21600,l21600,xe">
                <v:stroke joinstyle="miter"/>
                <v:path gradientshapeok="t" o:connecttype="rect"/>
              </v:shapetype>
              <v:shape id="Text Box 2" o:spid="_x0000_s1026" type="#_x0000_t202" style="position:absolute;margin-left:-7.25pt;margin-top:299.8pt;width:513.2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" stroked="f">
                <v:textbox style="mso-fit-shape-to-text:t">
                  <w:txbxContent>
                    <w:p w14:paraId="6CDE5F9C" w14:textId="5FF1C793" w:rsidR="00E77C34" w:rsidRPr="00E77C34" w:rsidRDefault="00E77C34" w:rsidP="00E77C34">
                      <w:pPr>
                        <w:spacing w:after="0" w:line="360" w:lineRule="auto"/>
                        <w:jc w:val="both"/>
                        <w:rPr>
                          <w:rFonts w:ascii="Arial" w:hAnsi="Arial" w:cs="Arial"/>
                          <w:sz w:val="20"/>
                          <w:szCs w:val="20"/>
                          <w:lang w:val="es-MX"/>
                        </w:rPr>
                      </w:pPr>
                      <w:r w:rsidRPr="00D33E22">
                        <w:rPr>
                          <w:rFonts w:ascii="Arial" w:hAnsi="Arial" w:cs="Arial"/>
                          <w:sz w:val="20"/>
                          <w:szCs w:val="20"/>
                          <w:lang w:val="es-MX"/>
                        </w:rPr>
                        <w:t xml:space="preserve">Los valores se presentan como frecuencias absolutas y porcentajes entre paréntesis. La edad se muestra como mediana (rango). </w:t>
                      </w:r>
                      <w:r w:rsidRPr="00E77C34">
                        <w:rPr>
                          <w:rFonts w:ascii="Arial" w:hAnsi="Arial" w:cs="Arial"/>
                          <w:sz w:val="20"/>
                          <w:szCs w:val="20"/>
                          <w:lang w:val="es-MX"/>
                        </w:rPr>
                        <w:t>El valor de p corresponde a la comparación entre los tres grupos mediante pruebas de exacta de Fisher para variables categóricas y Kruskal-Wallis para variables continuas.</w:t>
                      </w:r>
                    </w:p>
                  </w:txbxContent>
                </v:textbox>
              </v:shape>
            </w:pict>
          </mc:Fallback>
        </mc:AlternateContent>
      </w:r>
      <w:r w:rsidR="001B6E40" w:rsidRPr="001B6E40">
        <w:rPr>
          <w:rFonts w:ascii="Arial" w:hAnsi="Arial" w:cs="Arial"/>
          <w:b/>
          <w:bCs/>
          <w:i w:val="0"/>
          <w:iCs w:val="0"/>
          <w:color w:val="auto"/>
          <w:sz w:val="24"/>
          <w:szCs w:val="24"/>
          <w:lang w:val="es-ES"/>
        </w:rPr>
        <w:t xml:space="preserve">Tabla </w:t>
      </w:r>
      <w:r w:rsidR="001B6E40" w:rsidRPr="001B6E40">
        <w:rPr>
          <w:rFonts w:ascii="Arial" w:hAnsi="Arial" w:cs="Arial"/>
          <w:b/>
          <w:bCs/>
          <w:i w:val="0"/>
          <w:iCs w:val="0"/>
          <w:color w:val="auto"/>
          <w:sz w:val="24"/>
          <w:szCs w:val="24"/>
          <w:lang w:val="es-ES"/>
        </w:rPr>
        <w:fldChar w:fldCharType="begin"/>
      </w:r>
      <w:r w:rsidR="001B6E40" w:rsidRPr="001B6E40">
        <w:rPr>
          <w:rFonts w:ascii="Arial" w:hAnsi="Arial" w:cs="Arial"/>
          <w:b/>
          <w:bCs/>
          <w:i w:val="0"/>
          <w:iCs w:val="0"/>
          <w:color w:val="auto"/>
          <w:sz w:val="24"/>
          <w:szCs w:val="24"/>
          <w:lang w:val="es-ES"/>
        </w:rPr>
        <w:instrText xml:space="preserve"> SEQ Tabla \* ARABIC </w:instrText>
      </w:r>
      <w:r w:rsidR="001B6E40" w:rsidRPr="001B6E40">
        <w:rPr>
          <w:rFonts w:ascii="Arial" w:hAnsi="Arial" w:cs="Arial"/>
          <w:b/>
          <w:bCs/>
          <w:i w:val="0"/>
          <w:iCs w:val="0"/>
          <w:color w:val="auto"/>
          <w:sz w:val="24"/>
          <w:szCs w:val="24"/>
          <w:lang w:val="es-ES"/>
        </w:rPr>
        <w:fldChar w:fldCharType="separate"/>
      </w:r>
      <w:r w:rsidR="00026D67">
        <w:rPr>
          <w:rFonts w:ascii="Arial" w:hAnsi="Arial" w:cs="Arial"/>
          <w:b/>
          <w:bCs/>
          <w:i w:val="0"/>
          <w:iCs w:val="0"/>
          <w:noProof/>
          <w:color w:val="auto"/>
          <w:sz w:val="24"/>
          <w:szCs w:val="24"/>
          <w:lang w:val="es-ES"/>
        </w:rPr>
        <w:t>4</w:t>
      </w:r>
      <w:r w:rsidR="001B6E40" w:rsidRPr="001B6E40">
        <w:rPr>
          <w:rFonts w:ascii="Arial" w:hAnsi="Arial" w:cs="Arial"/>
          <w:b/>
          <w:bCs/>
          <w:i w:val="0"/>
          <w:iCs w:val="0"/>
          <w:color w:val="auto"/>
          <w:sz w:val="24"/>
          <w:szCs w:val="24"/>
          <w:lang w:val="es-ES"/>
        </w:rPr>
        <w:fldChar w:fldCharType="end"/>
      </w:r>
      <w:r w:rsidR="001B6E40" w:rsidRPr="001B6E40">
        <w:rPr>
          <w:rFonts w:ascii="Arial" w:hAnsi="Arial" w:cs="Arial"/>
          <w:b/>
          <w:bCs/>
          <w:i w:val="0"/>
          <w:iCs w:val="0"/>
          <w:color w:val="auto"/>
          <w:sz w:val="24"/>
          <w:szCs w:val="24"/>
          <w:lang w:val="es-ES"/>
        </w:rPr>
        <w:t xml:space="preserve">. </w:t>
      </w:r>
      <w:r w:rsidR="0097780B" w:rsidRPr="001B6E40">
        <w:rPr>
          <w:rFonts w:ascii="Arial" w:hAnsi="Arial" w:cs="Arial"/>
          <w:b/>
          <w:bCs/>
          <w:i w:val="0"/>
          <w:iCs w:val="0"/>
          <w:color w:val="auto"/>
          <w:sz w:val="24"/>
          <w:szCs w:val="24"/>
          <w:lang w:val="es-ES"/>
        </w:rPr>
        <w:t>Características</w:t>
      </w:r>
      <w:r w:rsidR="001B6E40" w:rsidRPr="001B6E40">
        <w:rPr>
          <w:rFonts w:ascii="Arial" w:hAnsi="Arial" w:cs="Arial"/>
          <w:b/>
          <w:bCs/>
          <w:i w:val="0"/>
          <w:iCs w:val="0"/>
          <w:color w:val="auto"/>
          <w:sz w:val="24"/>
          <w:szCs w:val="24"/>
          <w:lang w:val="es-ES"/>
        </w:rPr>
        <w:t xml:space="preserve"> sociodemográficas de la población</w:t>
      </w:r>
    </w:p>
    <w:tbl>
      <w:tblPr>
        <w:tblStyle w:val="PlainTable2"/>
        <w:tblW w:w="10145" w:type="dxa"/>
        <w:tblInd w:w="-90" w:type="dxa"/>
        <w:tblLook w:val="04A0" w:firstRow="1" w:lastRow="0" w:firstColumn="1" w:lastColumn="0" w:noHBand="0" w:noVBand="1"/>
      </w:tblPr>
      <w:tblGrid>
        <w:gridCol w:w="2340"/>
        <w:gridCol w:w="1870"/>
        <w:gridCol w:w="2195"/>
        <w:gridCol w:w="1870"/>
        <w:gridCol w:w="1870"/>
      </w:tblGrid>
      <w:tr w:rsidR="0090598F" w14:paraId="069F8CF4" w14:textId="77777777" w:rsidTr="00692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0BFECA6" w14:textId="28C3D8D8" w:rsidR="0090598F" w:rsidRPr="00026D67" w:rsidRDefault="0090598F" w:rsidP="00D9312C">
            <w:pPr>
              <w:spacing w:line="360" w:lineRule="auto"/>
              <w:jc w:val="both"/>
              <w:rPr>
                <w:rFonts w:ascii="Arial" w:hAnsi="Arial" w:cs="Arial"/>
                <w:sz w:val="20"/>
                <w:szCs w:val="20"/>
                <w:lang w:val="es-MX"/>
              </w:rPr>
            </w:pPr>
            <w:r w:rsidRPr="00026D67">
              <w:rPr>
                <w:rFonts w:ascii="Arial" w:hAnsi="Arial" w:cs="Arial"/>
                <w:sz w:val="20"/>
                <w:szCs w:val="20"/>
                <w:lang w:val="es-MX"/>
              </w:rPr>
              <w:t>Variable</w:t>
            </w:r>
          </w:p>
        </w:tc>
        <w:tc>
          <w:tcPr>
            <w:tcW w:w="1870" w:type="dxa"/>
          </w:tcPr>
          <w:p w14:paraId="6F77D29C" w14:textId="2EE62901"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Grupo control (GC)</w:t>
            </w:r>
          </w:p>
          <w:p w14:paraId="1DE678FF" w14:textId="4E7ED4D1"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n= 11</w:t>
            </w:r>
          </w:p>
        </w:tc>
        <w:tc>
          <w:tcPr>
            <w:tcW w:w="2195" w:type="dxa"/>
          </w:tcPr>
          <w:p w14:paraId="348D7E07" w14:textId="77777777"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Grupo ejercicio de resistencia (GER)</w:t>
            </w:r>
          </w:p>
          <w:p w14:paraId="2DBC81AA" w14:textId="393400FF"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n= 10</w:t>
            </w:r>
          </w:p>
        </w:tc>
        <w:tc>
          <w:tcPr>
            <w:tcW w:w="1870" w:type="dxa"/>
          </w:tcPr>
          <w:p w14:paraId="5CD1E1A8" w14:textId="77777777"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Grupo ejercicio cruzado (GEC)</w:t>
            </w:r>
          </w:p>
          <w:p w14:paraId="33C724FC" w14:textId="28826EEC"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n=11</w:t>
            </w:r>
          </w:p>
        </w:tc>
        <w:tc>
          <w:tcPr>
            <w:tcW w:w="1870" w:type="dxa"/>
          </w:tcPr>
          <w:p w14:paraId="79E2A34C" w14:textId="1374171B" w:rsidR="0090598F" w:rsidRPr="00026D67" w:rsidRDefault="0090598F" w:rsidP="0090598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Valor de p</w:t>
            </w:r>
          </w:p>
        </w:tc>
      </w:tr>
      <w:tr w:rsidR="0090598F" w14:paraId="4C0FCFCC" w14:textId="77777777" w:rsidTr="00692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1EF2750" w14:textId="2F40D543" w:rsidR="0090598F" w:rsidRPr="00026D67" w:rsidRDefault="0090598F" w:rsidP="00D9312C">
            <w:pPr>
              <w:spacing w:line="360" w:lineRule="auto"/>
              <w:jc w:val="both"/>
              <w:rPr>
                <w:rFonts w:ascii="Arial" w:hAnsi="Arial" w:cs="Arial"/>
                <w:sz w:val="20"/>
                <w:szCs w:val="20"/>
                <w:lang w:val="es-MX"/>
              </w:rPr>
            </w:pPr>
            <w:r w:rsidRPr="00026D67">
              <w:rPr>
                <w:rFonts w:ascii="Arial" w:hAnsi="Arial" w:cs="Arial"/>
                <w:sz w:val="20"/>
                <w:szCs w:val="20"/>
                <w:lang w:val="es-MX"/>
              </w:rPr>
              <w:t>Sexo (</w:t>
            </w:r>
            <w:proofErr w:type="spellStart"/>
            <w:proofErr w:type="gramStart"/>
            <w:r w:rsidR="001B6E40" w:rsidRPr="00026D67">
              <w:rPr>
                <w:rFonts w:ascii="Arial" w:hAnsi="Arial" w:cs="Arial"/>
                <w:sz w:val="20"/>
                <w:szCs w:val="20"/>
                <w:lang w:val="es-MX"/>
              </w:rPr>
              <w:t>M</w:t>
            </w:r>
            <w:r w:rsidR="00692A0D">
              <w:rPr>
                <w:rFonts w:ascii="Arial" w:hAnsi="Arial" w:cs="Arial"/>
                <w:sz w:val="20"/>
                <w:szCs w:val="20"/>
                <w:lang w:val="es-MX"/>
              </w:rPr>
              <w:t>ujer</w:t>
            </w:r>
            <w:r w:rsidRPr="00026D67">
              <w:rPr>
                <w:rFonts w:ascii="Arial" w:hAnsi="Arial" w:cs="Arial"/>
                <w:sz w:val="20"/>
                <w:szCs w:val="20"/>
                <w:lang w:val="es-MX"/>
              </w:rPr>
              <w:t>:</w:t>
            </w:r>
            <w:r w:rsidR="001B6E40" w:rsidRPr="00026D67">
              <w:rPr>
                <w:rFonts w:ascii="Arial" w:hAnsi="Arial" w:cs="Arial"/>
                <w:sz w:val="20"/>
                <w:szCs w:val="20"/>
                <w:lang w:val="es-MX"/>
              </w:rPr>
              <w:t>H</w:t>
            </w:r>
            <w:r w:rsidR="00692A0D">
              <w:rPr>
                <w:rFonts w:ascii="Arial" w:hAnsi="Arial" w:cs="Arial"/>
                <w:sz w:val="20"/>
                <w:szCs w:val="20"/>
                <w:lang w:val="es-MX"/>
              </w:rPr>
              <w:t>ombre</w:t>
            </w:r>
            <w:proofErr w:type="spellEnd"/>
            <w:proofErr w:type="gramEnd"/>
            <w:r w:rsidRPr="00026D67">
              <w:rPr>
                <w:rFonts w:ascii="Arial" w:hAnsi="Arial" w:cs="Arial"/>
                <w:sz w:val="20"/>
                <w:szCs w:val="20"/>
                <w:lang w:val="es-MX"/>
              </w:rPr>
              <w:t>)</w:t>
            </w:r>
          </w:p>
        </w:tc>
        <w:tc>
          <w:tcPr>
            <w:tcW w:w="1870" w:type="dxa"/>
          </w:tcPr>
          <w:p w14:paraId="3EC3E428" w14:textId="32103A44" w:rsidR="0090598F"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5:6</w:t>
            </w:r>
          </w:p>
        </w:tc>
        <w:tc>
          <w:tcPr>
            <w:tcW w:w="2195" w:type="dxa"/>
          </w:tcPr>
          <w:p w14:paraId="7C149FEE" w14:textId="2217AE9B" w:rsidR="0090598F"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7:3</w:t>
            </w:r>
          </w:p>
        </w:tc>
        <w:tc>
          <w:tcPr>
            <w:tcW w:w="1870" w:type="dxa"/>
          </w:tcPr>
          <w:p w14:paraId="3E485FA7" w14:textId="2EAE9F86" w:rsidR="0090598F"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9:2</w:t>
            </w:r>
          </w:p>
        </w:tc>
        <w:tc>
          <w:tcPr>
            <w:tcW w:w="1870" w:type="dxa"/>
          </w:tcPr>
          <w:p w14:paraId="798A5C9C" w14:textId="12A5E201" w:rsidR="0090598F" w:rsidRPr="00026D67" w:rsidRDefault="0053048D"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lang w:val="es-MX"/>
              </w:rPr>
              <w:t>0.384</w:t>
            </w:r>
          </w:p>
        </w:tc>
      </w:tr>
      <w:tr w:rsidR="0090598F" w:rsidRPr="0090598F" w14:paraId="3129D5F5" w14:textId="77777777" w:rsidTr="00692A0D">
        <w:tc>
          <w:tcPr>
            <w:cnfStyle w:val="001000000000" w:firstRow="0" w:lastRow="0" w:firstColumn="1" w:lastColumn="0" w:oddVBand="0" w:evenVBand="0" w:oddHBand="0" w:evenHBand="0" w:firstRowFirstColumn="0" w:firstRowLastColumn="0" w:lastRowFirstColumn="0" w:lastRowLastColumn="0"/>
            <w:tcW w:w="2340" w:type="dxa"/>
          </w:tcPr>
          <w:p w14:paraId="15A39A28" w14:textId="7523711F" w:rsidR="0090598F" w:rsidRPr="00026D67" w:rsidRDefault="0090598F" w:rsidP="00D9312C">
            <w:pPr>
              <w:spacing w:line="360" w:lineRule="auto"/>
              <w:jc w:val="both"/>
              <w:rPr>
                <w:rFonts w:ascii="Arial" w:hAnsi="Arial" w:cs="Arial"/>
                <w:sz w:val="20"/>
                <w:szCs w:val="20"/>
              </w:rPr>
            </w:pPr>
            <w:r w:rsidRPr="00026D67">
              <w:rPr>
                <w:rFonts w:ascii="Arial" w:hAnsi="Arial" w:cs="Arial"/>
                <w:sz w:val="20"/>
                <w:szCs w:val="20"/>
                <w:lang w:val="es-MX"/>
              </w:rPr>
              <w:t xml:space="preserve">Edad </w:t>
            </w:r>
            <w:r w:rsidR="004F474D" w:rsidRPr="00026D67">
              <w:rPr>
                <w:rFonts w:ascii="Arial" w:hAnsi="Arial" w:cs="Arial"/>
                <w:sz w:val="20"/>
                <w:szCs w:val="20"/>
                <w:lang w:val="es-MX"/>
              </w:rPr>
              <w:t>(rango)</w:t>
            </w:r>
          </w:p>
        </w:tc>
        <w:tc>
          <w:tcPr>
            <w:tcW w:w="1870" w:type="dxa"/>
          </w:tcPr>
          <w:p w14:paraId="405DAA3A" w14:textId="76349D8C" w:rsidR="0090598F" w:rsidRPr="00026D67" w:rsidRDefault="004F474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28.0 (18</w:t>
            </w:r>
            <w:r w:rsidR="0097780B" w:rsidRPr="00026D67">
              <w:rPr>
                <w:rFonts w:ascii="Arial" w:hAnsi="Arial" w:cs="Arial"/>
                <w:sz w:val="20"/>
                <w:szCs w:val="20"/>
              </w:rPr>
              <w:t xml:space="preserve"> - </w:t>
            </w:r>
            <w:r w:rsidRPr="00026D67">
              <w:rPr>
                <w:rFonts w:ascii="Arial" w:hAnsi="Arial" w:cs="Arial"/>
                <w:sz w:val="20"/>
                <w:szCs w:val="20"/>
              </w:rPr>
              <w:t>45)</w:t>
            </w:r>
          </w:p>
        </w:tc>
        <w:tc>
          <w:tcPr>
            <w:tcW w:w="2195" w:type="dxa"/>
          </w:tcPr>
          <w:p w14:paraId="645847AA" w14:textId="1C6386D4" w:rsidR="0090598F" w:rsidRPr="00026D67" w:rsidRDefault="004F474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22.5 (18 – 36)</w:t>
            </w:r>
          </w:p>
        </w:tc>
        <w:tc>
          <w:tcPr>
            <w:tcW w:w="1870" w:type="dxa"/>
          </w:tcPr>
          <w:p w14:paraId="29C2215F" w14:textId="37B90090" w:rsidR="0090598F" w:rsidRPr="00026D67" w:rsidRDefault="004F474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20.0 (</w:t>
            </w:r>
            <w:r w:rsidR="0097780B" w:rsidRPr="00026D67">
              <w:rPr>
                <w:rFonts w:ascii="Arial" w:hAnsi="Arial" w:cs="Arial"/>
                <w:sz w:val="20"/>
                <w:szCs w:val="20"/>
              </w:rPr>
              <w:t>18 – 36)</w:t>
            </w:r>
          </w:p>
        </w:tc>
        <w:tc>
          <w:tcPr>
            <w:tcW w:w="1870" w:type="dxa"/>
          </w:tcPr>
          <w:p w14:paraId="17870079" w14:textId="424113DF" w:rsidR="0090598F" w:rsidRPr="00026D67" w:rsidRDefault="004F474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rPr>
              <w:t>0.065</w:t>
            </w:r>
          </w:p>
        </w:tc>
      </w:tr>
      <w:tr w:rsidR="0090598F" w:rsidRPr="0090598F" w14:paraId="2A8F512B" w14:textId="77777777" w:rsidTr="00692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FF7F3E7" w14:textId="77777777" w:rsidR="0090598F" w:rsidRPr="00026D67" w:rsidRDefault="0090598F" w:rsidP="00D9312C">
            <w:pPr>
              <w:spacing w:line="360" w:lineRule="auto"/>
              <w:jc w:val="both"/>
              <w:rPr>
                <w:rFonts w:ascii="Arial" w:hAnsi="Arial" w:cs="Arial"/>
                <w:sz w:val="20"/>
                <w:szCs w:val="20"/>
                <w:lang w:val="es-MX"/>
              </w:rPr>
            </w:pPr>
            <w:r w:rsidRPr="00026D67">
              <w:rPr>
                <w:rFonts w:ascii="Arial" w:hAnsi="Arial" w:cs="Arial"/>
                <w:sz w:val="20"/>
                <w:szCs w:val="20"/>
                <w:lang w:val="es-MX"/>
              </w:rPr>
              <w:t>Estado Civil</w:t>
            </w:r>
          </w:p>
          <w:p w14:paraId="225B57E2" w14:textId="77777777" w:rsidR="001B6E40" w:rsidRPr="00026D67" w:rsidRDefault="001B6E40" w:rsidP="00D9312C">
            <w:pPr>
              <w:spacing w:line="360" w:lineRule="auto"/>
              <w:jc w:val="both"/>
              <w:rPr>
                <w:rFonts w:ascii="Arial" w:hAnsi="Arial" w:cs="Arial"/>
                <w:sz w:val="20"/>
                <w:szCs w:val="20"/>
                <w:lang w:val="es-MX"/>
              </w:rPr>
            </w:pPr>
            <w:r w:rsidRPr="00026D67">
              <w:rPr>
                <w:rFonts w:ascii="Arial" w:hAnsi="Arial" w:cs="Arial"/>
                <w:sz w:val="20"/>
                <w:szCs w:val="20"/>
                <w:lang w:val="es-MX"/>
              </w:rPr>
              <w:t xml:space="preserve">  Soltero</w:t>
            </w:r>
          </w:p>
          <w:p w14:paraId="25BD8418" w14:textId="77777777" w:rsidR="001B6E40" w:rsidRPr="00026D67" w:rsidRDefault="001B6E40" w:rsidP="00D9312C">
            <w:pPr>
              <w:spacing w:line="360" w:lineRule="auto"/>
              <w:jc w:val="both"/>
              <w:rPr>
                <w:rFonts w:ascii="Arial" w:hAnsi="Arial" w:cs="Arial"/>
                <w:sz w:val="20"/>
                <w:szCs w:val="20"/>
                <w:lang w:val="es-MX"/>
              </w:rPr>
            </w:pPr>
            <w:r w:rsidRPr="00026D67">
              <w:rPr>
                <w:rFonts w:ascii="Arial" w:hAnsi="Arial" w:cs="Arial"/>
                <w:sz w:val="20"/>
                <w:szCs w:val="20"/>
                <w:lang w:val="es-MX"/>
              </w:rPr>
              <w:t xml:space="preserve">  Casado</w:t>
            </w:r>
          </w:p>
          <w:p w14:paraId="24B3148D" w14:textId="77777777" w:rsidR="001B6E40" w:rsidRPr="00026D67" w:rsidRDefault="001B6E40" w:rsidP="00D9312C">
            <w:pPr>
              <w:spacing w:line="360" w:lineRule="auto"/>
              <w:jc w:val="both"/>
              <w:rPr>
                <w:rFonts w:ascii="Arial" w:hAnsi="Arial" w:cs="Arial"/>
                <w:sz w:val="20"/>
                <w:szCs w:val="20"/>
                <w:lang w:val="es-MX"/>
              </w:rPr>
            </w:pPr>
            <w:r w:rsidRPr="00026D67">
              <w:rPr>
                <w:rFonts w:ascii="Arial" w:hAnsi="Arial" w:cs="Arial"/>
                <w:sz w:val="20"/>
                <w:szCs w:val="20"/>
                <w:lang w:val="es-MX"/>
              </w:rPr>
              <w:t xml:space="preserve">  </w:t>
            </w:r>
            <w:proofErr w:type="spellStart"/>
            <w:r w:rsidRPr="00026D67">
              <w:rPr>
                <w:rFonts w:ascii="Arial" w:hAnsi="Arial" w:cs="Arial"/>
                <w:sz w:val="20"/>
                <w:szCs w:val="20"/>
                <w:lang w:val="es-MX"/>
              </w:rPr>
              <w:t>Union</w:t>
            </w:r>
            <w:proofErr w:type="spellEnd"/>
            <w:r w:rsidRPr="00026D67">
              <w:rPr>
                <w:rFonts w:ascii="Arial" w:hAnsi="Arial" w:cs="Arial"/>
                <w:sz w:val="20"/>
                <w:szCs w:val="20"/>
                <w:lang w:val="es-MX"/>
              </w:rPr>
              <w:t xml:space="preserve"> Libre</w:t>
            </w:r>
          </w:p>
          <w:p w14:paraId="2D01F418" w14:textId="475C8E5B" w:rsidR="001B6E40" w:rsidRPr="00026D67" w:rsidRDefault="001B6E40" w:rsidP="00D9312C">
            <w:pPr>
              <w:spacing w:line="360" w:lineRule="auto"/>
              <w:jc w:val="both"/>
              <w:rPr>
                <w:rFonts w:ascii="Arial" w:hAnsi="Arial" w:cs="Arial"/>
                <w:sz w:val="20"/>
                <w:szCs w:val="20"/>
              </w:rPr>
            </w:pPr>
            <w:r w:rsidRPr="00026D67">
              <w:rPr>
                <w:rFonts w:ascii="Arial" w:hAnsi="Arial" w:cs="Arial"/>
                <w:sz w:val="20"/>
                <w:szCs w:val="20"/>
                <w:lang w:val="es-MX"/>
              </w:rPr>
              <w:t xml:space="preserve">  </w:t>
            </w:r>
            <w:proofErr w:type="spellStart"/>
            <w:r w:rsidRPr="00026D67">
              <w:rPr>
                <w:rFonts w:ascii="Arial" w:hAnsi="Arial" w:cs="Arial"/>
                <w:sz w:val="20"/>
                <w:szCs w:val="20"/>
              </w:rPr>
              <w:t>Viudo</w:t>
            </w:r>
            <w:proofErr w:type="spellEnd"/>
          </w:p>
        </w:tc>
        <w:tc>
          <w:tcPr>
            <w:tcW w:w="1870" w:type="dxa"/>
          </w:tcPr>
          <w:p w14:paraId="2E4DCF08" w14:textId="77777777" w:rsidR="0090598F" w:rsidRPr="00026D67" w:rsidRDefault="0090598F"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7A8E0E"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7 (63.6%)</w:t>
            </w:r>
          </w:p>
          <w:p w14:paraId="44DFD963"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2 (18.2%)</w:t>
            </w:r>
          </w:p>
          <w:p w14:paraId="4D36238F"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2 (18.2%)</w:t>
            </w:r>
          </w:p>
          <w:p w14:paraId="3EFDF943" w14:textId="2C654EF4"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0 (0.0%)</w:t>
            </w:r>
          </w:p>
        </w:tc>
        <w:tc>
          <w:tcPr>
            <w:tcW w:w="2195" w:type="dxa"/>
          </w:tcPr>
          <w:p w14:paraId="7E65FB67" w14:textId="77777777" w:rsidR="0090598F" w:rsidRPr="00026D67" w:rsidRDefault="0090598F"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4D35BC7"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8 (80%)</w:t>
            </w:r>
          </w:p>
          <w:p w14:paraId="52E9B4F8" w14:textId="47383159"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0 (0.0%)</w:t>
            </w:r>
          </w:p>
          <w:p w14:paraId="6AD08051"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1 (10%)</w:t>
            </w:r>
          </w:p>
          <w:p w14:paraId="30505030" w14:textId="3B404A0B"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1 (10%)</w:t>
            </w:r>
          </w:p>
        </w:tc>
        <w:tc>
          <w:tcPr>
            <w:tcW w:w="1870" w:type="dxa"/>
          </w:tcPr>
          <w:p w14:paraId="2A031F74" w14:textId="77777777" w:rsidR="0090598F" w:rsidRPr="00026D67" w:rsidRDefault="0090598F"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14046D"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8 (72.7%)</w:t>
            </w:r>
          </w:p>
          <w:p w14:paraId="32B9F833"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1 (9.1%)</w:t>
            </w:r>
          </w:p>
          <w:p w14:paraId="2D4E5A3E" w14:textId="7777777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2 (18.2%)</w:t>
            </w:r>
          </w:p>
          <w:p w14:paraId="14211AE8" w14:textId="160F74B7" w:rsidR="001B6E40" w:rsidRPr="00026D67" w:rsidRDefault="001B6E40" w:rsidP="00692A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6D67">
              <w:rPr>
                <w:rFonts w:ascii="Arial" w:hAnsi="Arial" w:cs="Arial"/>
                <w:sz w:val="20"/>
                <w:szCs w:val="20"/>
              </w:rPr>
              <w:t>0 (0.0%)</w:t>
            </w:r>
          </w:p>
        </w:tc>
        <w:tc>
          <w:tcPr>
            <w:tcW w:w="1870" w:type="dxa"/>
          </w:tcPr>
          <w:p w14:paraId="5511E51C" w14:textId="41B0E320" w:rsidR="0090598F" w:rsidRPr="00026D67" w:rsidRDefault="0090598F" w:rsidP="00D9312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de-DE"/>
              </w:rPr>
            </w:pPr>
          </w:p>
        </w:tc>
      </w:tr>
      <w:tr w:rsidR="0090598F" w:rsidRPr="0090598F" w14:paraId="0F08A0DA" w14:textId="77777777" w:rsidTr="00692A0D">
        <w:tc>
          <w:tcPr>
            <w:cnfStyle w:val="001000000000" w:firstRow="0" w:lastRow="0" w:firstColumn="1" w:lastColumn="0" w:oddVBand="0" w:evenVBand="0" w:oddHBand="0" w:evenHBand="0" w:firstRowFirstColumn="0" w:firstRowLastColumn="0" w:lastRowFirstColumn="0" w:lastRowLastColumn="0"/>
            <w:tcW w:w="2340" w:type="dxa"/>
          </w:tcPr>
          <w:p w14:paraId="34921AC3" w14:textId="77777777" w:rsidR="0090598F" w:rsidRPr="000E5C7F" w:rsidRDefault="0090598F" w:rsidP="00D9312C">
            <w:pPr>
              <w:spacing w:line="360" w:lineRule="auto"/>
              <w:jc w:val="both"/>
              <w:rPr>
                <w:rFonts w:ascii="Arial" w:hAnsi="Arial" w:cs="Arial"/>
                <w:sz w:val="20"/>
                <w:szCs w:val="20"/>
                <w:lang w:val="es-MX"/>
              </w:rPr>
            </w:pPr>
            <w:r w:rsidRPr="000E5C7F">
              <w:rPr>
                <w:rFonts w:ascii="Arial" w:hAnsi="Arial" w:cs="Arial"/>
                <w:sz w:val="20"/>
                <w:szCs w:val="20"/>
                <w:lang w:val="es-MX"/>
              </w:rPr>
              <w:t>Escolaridad</w:t>
            </w:r>
          </w:p>
          <w:p w14:paraId="5968721F" w14:textId="77777777" w:rsidR="001B6E40" w:rsidRPr="000E5C7F" w:rsidRDefault="001B6E40" w:rsidP="00D9312C">
            <w:pPr>
              <w:spacing w:line="360" w:lineRule="auto"/>
              <w:jc w:val="both"/>
              <w:rPr>
                <w:rFonts w:ascii="Arial" w:hAnsi="Arial" w:cs="Arial"/>
                <w:sz w:val="20"/>
                <w:szCs w:val="20"/>
                <w:lang w:val="es-MX"/>
              </w:rPr>
            </w:pPr>
            <w:r w:rsidRPr="000E5C7F">
              <w:rPr>
                <w:rFonts w:ascii="Arial" w:hAnsi="Arial" w:cs="Arial"/>
                <w:sz w:val="20"/>
                <w:szCs w:val="20"/>
                <w:lang w:val="es-MX"/>
              </w:rPr>
              <w:t xml:space="preserve">  Primaria</w:t>
            </w:r>
          </w:p>
          <w:p w14:paraId="3E6F7854" w14:textId="77777777" w:rsidR="001B6E40" w:rsidRPr="000E5C7F" w:rsidRDefault="001B6E40" w:rsidP="00D9312C">
            <w:pPr>
              <w:spacing w:line="360" w:lineRule="auto"/>
              <w:jc w:val="both"/>
              <w:rPr>
                <w:rFonts w:ascii="Arial" w:hAnsi="Arial" w:cs="Arial"/>
                <w:sz w:val="20"/>
                <w:szCs w:val="20"/>
                <w:lang w:val="es-MX"/>
              </w:rPr>
            </w:pPr>
            <w:r w:rsidRPr="000E5C7F">
              <w:rPr>
                <w:rFonts w:ascii="Arial" w:hAnsi="Arial" w:cs="Arial"/>
                <w:sz w:val="20"/>
                <w:szCs w:val="20"/>
                <w:lang w:val="es-MX"/>
              </w:rPr>
              <w:t xml:space="preserve">  Secundaria</w:t>
            </w:r>
          </w:p>
          <w:p w14:paraId="0AA42C68" w14:textId="77777777" w:rsidR="001B6E40" w:rsidRPr="000E5C7F" w:rsidRDefault="001B6E40" w:rsidP="00D9312C">
            <w:pPr>
              <w:spacing w:line="360" w:lineRule="auto"/>
              <w:jc w:val="both"/>
              <w:rPr>
                <w:rFonts w:ascii="Arial" w:hAnsi="Arial" w:cs="Arial"/>
                <w:sz w:val="20"/>
                <w:szCs w:val="20"/>
                <w:lang w:val="es-MX"/>
              </w:rPr>
            </w:pPr>
            <w:r w:rsidRPr="000E5C7F">
              <w:rPr>
                <w:rFonts w:ascii="Arial" w:hAnsi="Arial" w:cs="Arial"/>
                <w:sz w:val="20"/>
                <w:szCs w:val="20"/>
                <w:lang w:val="es-MX"/>
              </w:rPr>
              <w:t xml:space="preserve">  Preparatoria</w:t>
            </w:r>
          </w:p>
          <w:p w14:paraId="5D8C697F" w14:textId="77777777" w:rsidR="001B6E40" w:rsidRPr="000E5C7F" w:rsidRDefault="001B6E40" w:rsidP="00D9312C">
            <w:pPr>
              <w:spacing w:line="360" w:lineRule="auto"/>
              <w:jc w:val="both"/>
              <w:rPr>
                <w:rFonts w:ascii="Arial" w:hAnsi="Arial" w:cs="Arial"/>
                <w:sz w:val="20"/>
                <w:szCs w:val="20"/>
                <w:lang w:val="es-MX"/>
              </w:rPr>
            </w:pPr>
            <w:r w:rsidRPr="000E5C7F">
              <w:rPr>
                <w:rFonts w:ascii="Arial" w:hAnsi="Arial" w:cs="Arial"/>
                <w:sz w:val="20"/>
                <w:szCs w:val="20"/>
                <w:lang w:val="es-MX"/>
              </w:rPr>
              <w:t xml:space="preserve">  Licenciatura</w:t>
            </w:r>
          </w:p>
          <w:p w14:paraId="5729AAF9" w14:textId="5ED9479C" w:rsidR="001B6E40" w:rsidRPr="000E5C7F" w:rsidRDefault="001B6E40" w:rsidP="00D9312C">
            <w:pPr>
              <w:spacing w:line="360" w:lineRule="auto"/>
              <w:jc w:val="both"/>
              <w:rPr>
                <w:rFonts w:ascii="Arial" w:hAnsi="Arial" w:cs="Arial"/>
                <w:sz w:val="20"/>
                <w:szCs w:val="20"/>
                <w:lang w:val="es-MX"/>
              </w:rPr>
            </w:pPr>
            <w:r w:rsidRPr="000E5C7F">
              <w:rPr>
                <w:rFonts w:ascii="Arial" w:hAnsi="Arial" w:cs="Arial"/>
                <w:sz w:val="20"/>
                <w:szCs w:val="20"/>
                <w:lang w:val="es-MX"/>
              </w:rPr>
              <w:t xml:space="preserve">  Maestría</w:t>
            </w:r>
          </w:p>
        </w:tc>
        <w:tc>
          <w:tcPr>
            <w:tcW w:w="1870" w:type="dxa"/>
          </w:tcPr>
          <w:p w14:paraId="32B86676" w14:textId="77777777" w:rsidR="0090598F" w:rsidRPr="000E5C7F" w:rsidRDefault="0090598F"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p>
          <w:p w14:paraId="5CF97389"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0 (0.0%)</w:t>
            </w:r>
          </w:p>
          <w:p w14:paraId="75E22266"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3 (27.3%)</w:t>
            </w:r>
          </w:p>
          <w:p w14:paraId="4A4EEF9C"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3 (27.3%)</w:t>
            </w:r>
          </w:p>
          <w:p w14:paraId="2EC3497E"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4 (36.4%)</w:t>
            </w:r>
          </w:p>
          <w:p w14:paraId="7490EFD1" w14:textId="3B1AA7DD"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1 (9.1%)</w:t>
            </w:r>
          </w:p>
        </w:tc>
        <w:tc>
          <w:tcPr>
            <w:tcW w:w="2195" w:type="dxa"/>
          </w:tcPr>
          <w:p w14:paraId="797CAEEF" w14:textId="77777777" w:rsidR="0090598F" w:rsidRPr="00026D67" w:rsidRDefault="0090598F"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96EDAE"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0 (0.0%)</w:t>
            </w:r>
          </w:p>
          <w:p w14:paraId="6B1DC533"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1 (10%)</w:t>
            </w:r>
          </w:p>
          <w:p w14:paraId="4A43C105"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4 (40%)</w:t>
            </w:r>
          </w:p>
          <w:p w14:paraId="09EF42B0" w14:textId="77777777"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4 (40%)</w:t>
            </w:r>
          </w:p>
          <w:p w14:paraId="774D0B33" w14:textId="3F795923" w:rsidR="001B6E40" w:rsidRPr="00026D67" w:rsidRDefault="001B6E40"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1 (10%)</w:t>
            </w:r>
          </w:p>
        </w:tc>
        <w:tc>
          <w:tcPr>
            <w:tcW w:w="1870" w:type="dxa"/>
          </w:tcPr>
          <w:p w14:paraId="7509E934" w14:textId="77777777" w:rsidR="0090598F" w:rsidRPr="00026D67" w:rsidRDefault="0090598F"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D3EB9E1" w14:textId="6B75314D" w:rsidR="0053048D" w:rsidRPr="00026D67" w:rsidRDefault="0053048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1 (9.1%)</w:t>
            </w:r>
          </w:p>
          <w:p w14:paraId="12BF02FF" w14:textId="77777777" w:rsidR="0053048D" w:rsidRPr="00026D67" w:rsidRDefault="0053048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1 (9.1%)</w:t>
            </w:r>
          </w:p>
          <w:p w14:paraId="0AC12A10" w14:textId="2A1BAF38" w:rsidR="0053048D" w:rsidRPr="00026D67" w:rsidRDefault="0053048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6 (54.5%)</w:t>
            </w:r>
          </w:p>
          <w:p w14:paraId="25208119" w14:textId="6F5B246E" w:rsidR="0053048D" w:rsidRPr="00026D67" w:rsidRDefault="0053048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6D67">
              <w:rPr>
                <w:rFonts w:ascii="Arial" w:hAnsi="Arial" w:cs="Arial"/>
                <w:sz w:val="20"/>
                <w:szCs w:val="20"/>
              </w:rPr>
              <w:t>3 (27.3%)</w:t>
            </w:r>
          </w:p>
          <w:p w14:paraId="61B3A17B" w14:textId="1C9EB7F8" w:rsidR="001B6E40" w:rsidRPr="00026D67" w:rsidRDefault="0053048D" w:rsidP="00692A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r w:rsidRPr="00026D67">
              <w:rPr>
                <w:rFonts w:ascii="Arial" w:hAnsi="Arial" w:cs="Arial"/>
                <w:sz w:val="20"/>
                <w:szCs w:val="20"/>
              </w:rPr>
              <w:t>0 (0.0%)</w:t>
            </w:r>
          </w:p>
        </w:tc>
        <w:tc>
          <w:tcPr>
            <w:tcW w:w="1870" w:type="dxa"/>
          </w:tcPr>
          <w:p w14:paraId="4346D28F" w14:textId="56A6C70C" w:rsidR="0090598F" w:rsidRPr="00026D67" w:rsidRDefault="0090598F" w:rsidP="00D9312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CFB93F3" w14:textId="72F87591" w:rsidR="007E4439" w:rsidRDefault="002E49D6" w:rsidP="00D9312C">
      <w:pPr>
        <w:spacing w:line="360" w:lineRule="auto"/>
        <w:jc w:val="both"/>
        <w:rPr>
          <w:rFonts w:ascii="Arial" w:hAnsi="Arial" w:cs="Arial"/>
          <w:lang w:val="es-MX"/>
        </w:rPr>
      </w:pPr>
      <w:r w:rsidRPr="0097780B">
        <w:rPr>
          <w:rFonts w:ascii="Arial" w:hAnsi="Arial" w:cs="Arial"/>
          <w:lang w:val="es-MX"/>
        </w:rPr>
        <w:t xml:space="preserve"> </w:t>
      </w:r>
      <w:r w:rsidR="009C143A" w:rsidRPr="0097780B">
        <w:rPr>
          <w:rFonts w:ascii="Arial" w:hAnsi="Arial" w:cs="Arial"/>
          <w:lang w:val="es-MX"/>
        </w:rPr>
        <w:t xml:space="preserve"> </w:t>
      </w:r>
    </w:p>
    <w:p w14:paraId="1403C72E" w14:textId="77777777" w:rsidR="00E77C34" w:rsidRDefault="00E77C34" w:rsidP="00D9312C">
      <w:pPr>
        <w:spacing w:line="360" w:lineRule="auto"/>
        <w:jc w:val="both"/>
        <w:rPr>
          <w:rFonts w:ascii="Arial" w:hAnsi="Arial" w:cs="Arial"/>
          <w:lang w:val="es-MX"/>
        </w:rPr>
      </w:pPr>
    </w:p>
    <w:p w14:paraId="31B4D1CF" w14:textId="34E583A2" w:rsidR="000C1A3D" w:rsidRDefault="0097780B" w:rsidP="00D9312C">
      <w:pPr>
        <w:spacing w:line="360" w:lineRule="auto"/>
        <w:jc w:val="both"/>
        <w:rPr>
          <w:rFonts w:ascii="Arial" w:hAnsi="Arial" w:cs="Arial"/>
          <w:lang w:val="es-MX"/>
        </w:rPr>
      </w:pPr>
      <w:r>
        <w:rPr>
          <w:rFonts w:ascii="Arial" w:hAnsi="Arial" w:cs="Arial"/>
          <w:lang w:val="es-MX"/>
        </w:rPr>
        <w:t xml:space="preserve">Se realizó una prueba </w:t>
      </w:r>
      <w:r w:rsidR="00662C96">
        <w:rPr>
          <w:rFonts w:ascii="Arial" w:hAnsi="Arial" w:cs="Arial"/>
          <w:lang w:val="es-MX"/>
        </w:rPr>
        <w:t xml:space="preserve">t de </w:t>
      </w:r>
      <w:proofErr w:type="spellStart"/>
      <w:r w:rsidR="00662C96">
        <w:rPr>
          <w:rFonts w:ascii="Arial" w:hAnsi="Arial" w:cs="Arial"/>
          <w:lang w:val="es-MX"/>
        </w:rPr>
        <w:t>Student</w:t>
      </w:r>
      <w:proofErr w:type="spellEnd"/>
      <w:r w:rsidR="00662C96">
        <w:rPr>
          <w:rFonts w:ascii="Arial" w:hAnsi="Arial" w:cs="Arial"/>
          <w:lang w:val="es-MX"/>
        </w:rPr>
        <w:t xml:space="preserve"> para muestras pareadas para comparar la media de las cinco pruebas para medir el desempeño físico previo vs. </w:t>
      </w:r>
      <w:proofErr w:type="spellStart"/>
      <w:r w:rsidR="00662C96">
        <w:rPr>
          <w:rFonts w:ascii="Arial" w:hAnsi="Arial" w:cs="Arial"/>
          <w:lang w:val="es-MX"/>
        </w:rPr>
        <w:t>post-intervención</w:t>
      </w:r>
      <w:proofErr w:type="spellEnd"/>
      <w:r w:rsidR="00662C96">
        <w:rPr>
          <w:rFonts w:ascii="Arial" w:hAnsi="Arial" w:cs="Arial"/>
          <w:lang w:val="es-MX"/>
        </w:rPr>
        <w:t xml:space="preserve">, al igual que un análisis de ANOVA para comparar la media </w:t>
      </w:r>
      <w:proofErr w:type="spellStart"/>
      <w:r w:rsidR="00662C96">
        <w:rPr>
          <w:rFonts w:ascii="Arial" w:hAnsi="Arial" w:cs="Arial"/>
          <w:lang w:val="es-MX"/>
        </w:rPr>
        <w:t>post-intervención</w:t>
      </w:r>
      <w:proofErr w:type="spellEnd"/>
      <w:r>
        <w:rPr>
          <w:rFonts w:ascii="Arial" w:hAnsi="Arial" w:cs="Arial"/>
          <w:lang w:val="es-MX"/>
        </w:rPr>
        <w:t xml:space="preserve"> entre los tres grupos de estudio. En la </w:t>
      </w:r>
      <w:r w:rsidRPr="0097780B">
        <w:rPr>
          <w:rFonts w:ascii="Arial" w:hAnsi="Arial" w:cs="Arial"/>
          <w:b/>
          <w:bCs/>
          <w:lang w:val="es-MX"/>
        </w:rPr>
        <w:t>Tabla 5</w:t>
      </w:r>
      <w:r>
        <w:rPr>
          <w:rFonts w:ascii="Arial" w:hAnsi="Arial" w:cs="Arial"/>
          <w:lang w:val="es-MX"/>
        </w:rPr>
        <w:t xml:space="preserve"> podremos encontrar los resultados de las pruebas.</w:t>
      </w:r>
    </w:p>
    <w:p w14:paraId="6292279C" w14:textId="1FEB48EE" w:rsidR="00930FFD" w:rsidRPr="00930FFD" w:rsidRDefault="00930FFD" w:rsidP="00930FFD">
      <w:pPr>
        <w:spacing w:line="360" w:lineRule="auto"/>
        <w:jc w:val="both"/>
        <w:rPr>
          <w:rFonts w:ascii="Arial" w:hAnsi="Arial" w:cs="Arial"/>
          <w:b/>
          <w:bCs/>
          <w:lang w:val="es-MX"/>
        </w:rPr>
      </w:pPr>
      <w:r w:rsidRPr="00930FFD">
        <w:rPr>
          <w:rFonts w:ascii="Arial" w:hAnsi="Arial" w:cs="Arial"/>
          <w:b/>
          <w:bCs/>
          <w:lang w:val="es-MX"/>
        </w:rPr>
        <w:t>Análisis de correlación</w:t>
      </w:r>
      <w:r>
        <w:rPr>
          <w:rFonts w:ascii="Arial" w:hAnsi="Arial" w:cs="Arial"/>
          <w:b/>
          <w:bCs/>
          <w:lang w:val="es-MX"/>
        </w:rPr>
        <w:t xml:space="preserve"> y Regresión Logística</w:t>
      </w:r>
    </w:p>
    <w:p w14:paraId="15C6C6F6" w14:textId="2EC53034" w:rsidR="001B1918" w:rsidRPr="001B1918" w:rsidRDefault="001B1918" w:rsidP="001B1918">
      <w:pPr>
        <w:spacing w:line="360" w:lineRule="auto"/>
        <w:jc w:val="both"/>
        <w:rPr>
          <w:rFonts w:ascii="Arial" w:hAnsi="Arial" w:cs="Arial"/>
          <w:lang w:val="es-MX"/>
        </w:rPr>
      </w:pPr>
      <w:r w:rsidRPr="001B1918">
        <w:rPr>
          <w:rFonts w:ascii="Arial" w:hAnsi="Arial" w:cs="Arial"/>
          <w:lang w:val="es-MX"/>
        </w:rPr>
        <w:t xml:space="preserve">De los 32 registros clínicos analizados, únicamente el 31.25% (n=10) de los pacientes presentaron recaída </w:t>
      </w:r>
      <w:r w:rsidR="00DB2FDD" w:rsidRPr="00DB2FDD">
        <w:rPr>
          <w:rFonts w:ascii="Arial" w:hAnsi="Arial" w:cs="Arial"/>
          <w:lang w:val="es-MX"/>
        </w:rPr>
        <w:t>durante el periodo de seguimiento posterior a la fase de inducción, con un seguimiento de 500 días</w:t>
      </w:r>
      <w:r w:rsidRPr="001B1918">
        <w:rPr>
          <w:rFonts w:ascii="Arial" w:hAnsi="Arial" w:cs="Arial"/>
          <w:lang w:val="es-MX"/>
        </w:rPr>
        <w:t xml:space="preserve">. De estos casos, el 50% </w:t>
      </w:r>
      <w:r w:rsidR="00662C96">
        <w:rPr>
          <w:rFonts w:ascii="Arial" w:hAnsi="Arial" w:cs="Arial"/>
          <w:lang w:val="es-MX"/>
        </w:rPr>
        <w:t>correspondió</w:t>
      </w:r>
      <w:r w:rsidRPr="001B1918">
        <w:rPr>
          <w:rFonts w:ascii="Arial" w:hAnsi="Arial" w:cs="Arial"/>
          <w:lang w:val="es-MX"/>
        </w:rPr>
        <w:t xml:space="preserve"> al grupo control (GC), el 30% al grupo de ejercicio con resistencia (GER) y el 20% restante al grupo de ejercicio combinado (GEC).</w:t>
      </w:r>
    </w:p>
    <w:p w14:paraId="6E96AA8E" w14:textId="07976927" w:rsidR="001B1918" w:rsidRPr="001B1918" w:rsidRDefault="001B1918" w:rsidP="001B1918">
      <w:pPr>
        <w:spacing w:line="360" w:lineRule="auto"/>
        <w:jc w:val="both"/>
        <w:rPr>
          <w:rFonts w:ascii="Arial" w:hAnsi="Arial" w:cs="Arial"/>
          <w:lang w:val="es-MX"/>
        </w:rPr>
      </w:pPr>
      <w:r w:rsidRPr="001B1918">
        <w:rPr>
          <w:rFonts w:ascii="Arial" w:hAnsi="Arial" w:cs="Arial"/>
          <w:lang w:val="es-MX"/>
        </w:rPr>
        <w:t>En cuanto al desempeño físico global, se observó que solo el 27.3% de los pacientes pertenecientes al GC alcanzaron un</w:t>
      </w:r>
      <w:r w:rsidR="000E5C7F">
        <w:rPr>
          <w:rFonts w:ascii="Arial" w:hAnsi="Arial" w:cs="Arial"/>
          <w:lang w:val="es-MX"/>
        </w:rPr>
        <w:t xml:space="preserve"> “buen</w:t>
      </w:r>
      <w:r w:rsidRPr="001B1918">
        <w:rPr>
          <w:rFonts w:ascii="Arial" w:hAnsi="Arial" w:cs="Arial"/>
          <w:lang w:val="es-MX"/>
        </w:rPr>
        <w:t xml:space="preserve"> desempeño</w:t>
      </w:r>
      <w:r w:rsidR="000E5C7F">
        <w:rPr>
          <w:rFonts w:ascii="Arial" w:hAnsi="Arial" w:cs="Arial"/>
          <w:lang w:val="es-MX"/>
        </w:rPr>
        <w:t>”</w:t>
      </w:r>
      <w:r w:rsidRPr="001B1918">
        <w:rPr>
          <w:rFonts w:ascii="Arial" w:hAnsi="Arial" w:cs="Arial"/>
          <w:lang w:val="es-MX"/>
        </w:rPr>
        <w:t>. En el grupo GER esta proporción fue del 40%, mientras que en el grupo GEC fue del 63.3%.</w:t>
      </w:r>
    </w:p>
    <w:p w14:paraId="56E07582" w14:textId="18469C84" w:rsidR="0074775F" w:rsidRDefault="001B1918" w:rsidP="001B1918">
      <w:pPr>
        <w:spacing w:line="360" w:lineRule="auto"/>
        <w:jc w:val="both"/>
        <w:rPr>
          <w:rFonts w:ascii="Arial" w:hAnsi="Arial" w:cs="Arial"/>
          <w:lang w:val="es-MX"/>
        </w:rPr>
      </w:pPr>
      <w:r w:rsidRPr="001B1918">
        <w:rPr>
          <w:rFonts w:ascii="Arial" w:hAnsi="Arial" w:cs="Arial"/>
          <w:lang w:val="es-MX"/>
        </w:rPr>
        <w:lastRenderedPageBreak/>
        <w:t>Se aplicaron pruebas de chi cuadrada y correlación de Pearson para explorar la asociación entre la variable de recaída y el desempeño físico global, clasificadas de acuerdo con el grupo de intervención asignado. No se identificaron diferencias estadísticamente significativas ni correlaciones de magnitud relevante en ninguno de los tres grupos: GC (χ² = 0.244, p = 0.576; r = -0.149), GER (χ² = 0.079, p = 0.667; r = -0.089) y GEC (χ² = 0.196, p = 0.618; r = -0.134).</w:t>
      </w:r>
      <w:r w:rsidR="000F18D7">
        <w:rPr>
          <w:rFonts w:ascii="Arial" w:hAnsi="Arial" w:cs="Arial"/>
          <w:lang w:val="es-MX"/>
        </w:rPr>
        <w:t xml:space="preserve"> </w:t>
      </w:r>
      <w:r w:rsidR="0074775F" w:rsidRPr="0074775F">
        <w:rPr>
          <w:rFonts w:ascii="Arial" w:hAnsi="Arial" w:cs="Arial"/>
          <w:lang w:val="es-MX"/>
        </w:rPr>
        <w:t xml:space="preserve">Se realizó un modelo de regresión logística binaria para explorar la asociación entre el desempeño físico y el riesgo de recaída. Los resultados se muestran en la </w:t>
      </w:r>
      <w:r w:rsidR="0074775F" w:rsidRPr="0074775F">
        <w:rPr>
          <w:rFonts w:ascii="Arial" w:hAnsi="Arial" w:cs="Arial"/>
          <w:b/>
          <w:bCs/>
          <w:lang w:val="es-MX"/>
        </w:rPr>
        <w:t xml:space="preserve">Figura 1 </w:t>
      </w:r>
      <w:r w:rsidR="0074775F" w:rsidRPr="0074775F">
        <w:rPr>
          <w:rFonts w:ascii="Arial" w:hAnsi="Arial" w:cs="Arial"/>
          <w:lang w:val="es-MX"/>
        </w:rPr>
        <w:t>mediante un diagrama de bosque. Aunque se observaron razones de momios por encima de 1 para los grupos</w:t>
      </w:r>
      <w:r w:rsidR="0074775F">
        <w:rPr>
          <w:rFonts w:ascii="Arial" w:hAnsi="Arial" w:cs="Arial"/>
          <w:lang w:val="es-MX"/>
        </w:rPr>
        <w:t xml:space="preserve"> GC,</w:t>
      </w:r>
      <w:r w:rsidR="0074775F" w:rsidRPr="0074775F">
        <w:rPr>
          <w:rFonts w:ascii="Arial" w:hAnsi="Arial" w:cs="Arial"/>
          <w:lang w:val="es-MX"/>
        </w:rPr>
        <w:t xml:space="preserve"> GER y GEC, ninguna asociación fue estadísticamente significativa.</w:t>
      </w:r>
    </w:p>
    <w:p w14:paraId="4F60DBFD" w14:textId="1B0A4C3C" w:rsidR="00924644" w:rsidRPr="00924644" w:rsidRDefault="00924644" w:rsidP="001B1918">
      <w:pPr>
        <w:spacing w:line="360" w:lineRule="auto"/>
        <w:jc w:val="both"/>
        <w:rPr>
          <w:rFonts w:ascii="Arial" w:hAnsi="Arial" w:cs="Arial"/>
          <w:lang w:val="es-MX"/>
        </w:rPr>
      </w:pPr>
      <w:r>
        <w:rPr>
          <w:rFonts w:ascii="Arial" w:hAnsi="Arial" w:cs="Arial"/>
          <w:lang w:val="es-MX"/>
        </w:rPr>
        <w:t xml:space="preserve">Como subanálisis, </w:t>
      </w:r>
      <w:r w:rsidR="00662C96">
        <w:rPr>
          <w:rFonts w:ascii="Arial" w:hAnsi="Arial" w:cs="Arial"/>
          <w:lang w:val="es-MX"/>
        </w:rPr>
        <w:t>se decidió analizar si la mejora del desempeño físico resultado de realizar ejercicio o no, tenía correlación con</w:t>
      </w:r>
      <w:r>
        <w:rPr>
          <w:rFonts w:ascii="Arial" w:hAnsi="Arial" w:cs="Arial"/>
          <w:lang w:val="es-MX"/>
        </w:rPr>
        <w:t xml:space="preserve"> la recaída de los pacientes. Por lo que se juntaron ambas rutinas de ejercicio y se compararon con el grupo control. Sin embargo, tampoco mostraron diferencias significativas en los resultados: No ejercicio</w:t>
      </w:r>
      <w:r w:rsidRPr="001B1918">
        <w:rPr>
          <w:rFonts w:ascii="Arial" w:hAnsi="Arial" w:cs="Arial"/>
          <w:lang w:val="es-MX"/>
        </w:rPr>
        <w:t xml:space="preserve"> (χ² = 0.244, p = 0.576; r = -0.1</w:t>
      </w:r>
      <w:r>
        <w:rPr>
          <w:rFonts w:ascii="Arial" w:hAnsi="Arial" w:cs="Arial"/>
          <w:lang w:val="es-MX"/>
        </w:rPr>
        <w:t>4</w:t>
      </w:r>
      <w:r w:rsidRPr="001B1918">
        <w:rPr>
          <w:rFonts w:ascii="Arial" w:hAnsi="Arial" w:cs="Arial"/>
          <w:lang w:val="es-MX"/>
        </w:rPr>
        <w:t>9),</w:t>
      </w:r>
      <w:r>
        <w:rPr>
          <w:rFonts w:ascii="Arial" w:hAnsi="Arial" w:cs="Arial"/>
          <w:lang w:val="es-MX"/>
        </w:rPr>
        <w:t xml:space="preserve"> Rutina de ejercicio</w:t>
      </w:r>
      <w:r w:rsidRPr="001B1918">
        <w:rPr>
          <w:rFonts w:ascii="Arial" w:hAnsi="Arial" w:cs="Arial"/>
          <w:lang w:val="es-MX"/>
        </w:rPr>
        <w:t xml:space="preserve"> (χ² = 0.</w:t>
      </w:r>
      <w:r>
        <w:rPr>
          <w:rFonts w:ascii="Arial" w:hAnsi="Arial" w:cs="Arial"/>
          <w:lang w:val="es-MX"/>
        </w:rPr>
        <w:t>403</w:t>
      </w:r>
      <w:r w:rsidRPr="001B1918">
        <w:rPr>
          <w:rFonts w:ascii="Arial" w:hAnsi="Arial" w:cs="Arial"/>
          <w:lang w:val="es-MX"/>
        </w:rPr>
        <w:t>, p = 0.</w:t>
      </w:r>
      <w:r>
        <w:rPr>
          <w:rFonts w:ascii="Arial" w:hAnsi="Arial" w:cs="Arial"/>
          <w:lang w:val="es-MX"/>
        </w:rPr>
        <w:t>450</w:t>
      </w:r>
      <w:r w:rsidRPr="001B1918">
        <w:rPr>
          <w:rFonts w:ascii="Arial" w:hAnsi="Arial" w:cs="Arial"/>
          <w:lang w:val="es-MX"/>
        </w:rPr>
        <w:t>; r = -0.</w:t>
      </w:r>
      <w:r>
        <w:rPr>
          <w:rFonts w:ascii="Arial" w:hAnsi="Arial" w:cs="Arial"/>
          <w:lang w:val="es-MX"/>
        </w:rPr>
        <w:t>139</w:t>
      </w:r>
      <w:r w:rsidRPr="001B1918">
        <w:rPr>
          <w:rFonts w:ascii="Arial" w:hAnsi="Arial" w:cs="Arial"/>
          <w:lang w:val="es-MX"/>
        </w:rPr>
        <w:t>)</w:t>
      </w:r>
      <w:r>
        <w:rPr>
          <w:rFonts w:ascii="Arial" w:hAnsi="Arial" w:cs="Arial"/>
          <w:lang w:val="es-MX"/>
        </w:rPr>
        <w:t xml:space="preserve">. Los resultados de la regresión logística se muestran en la </w:t>
      </w:r>
      <w:r w:rsidRPr="00924644">
        <w:rPr>
          <w:rFonts w:ascii="Arial" w:hAnsi="Arial" w:cs="Arial"/>
          <w:b/>
          <w:bCs/>
          <w:lang w:val="es-MX"/>
        </w:rPr>
        <w:t>Figura 2</w:t>
      </w:r>
      <w:r>
        <w:rPr>
          <w:rFonts w:ascii="Arial" w:hAnsi="Arial" w:cs="Arial"/>
          <w:b/>
          <w:bCs/>
          <w:lang w:val="es-MX"/>
        </w:rPr>
        <w:t>.</w:t>
      </w:r>
    </w:p>
    <w:p w14:paraId="0D76D665" w14:textId="77777777" w:rsidR="000E5C7F" w:rsidRDefault="000E5C7F" w:rsidP="001B1918">
      <w:pPr>
        <w:spacing w:line="360" w:lineRule="auto"/>
        <w:jc w:val="both"/>
        <w:rPr>
          <w:rFonts w:ascii="Arial" w:hAnsi="Arial" w:cs="Arial"/>
          <w:lang w:val="es-MX"/>
        </w:rPr>
        <w:sectPr w:rsidR="000E5C7F" w:rsidSect="000E5C7F">
          <w:pgSz w:w="12240" w:h="15840"/>
          <w:pgMar w:top="1440" w:right="1440" w:bottom="1440" w:left="1440" w:header="720" w:footer="720" w:gutter="0"/>
          <w:cols w:space="720"/>
          <w:docGrid w:linePitch="360"/>
        </w:sectPr>
      </w:pPr>
    </w:p>
    <w:p w14:paraId="727F25F4" w14:textId="77777777" w:rsidR="000F18D7" w:rsidRPr="000F18D7" w:rsidRDefault="000F18D7" w:rsidP="001B1918">
      <w:pPr>
        <w:spacing w:line="360" w:lineRule="auto"/>
        <w:jc w:val="both"/>
        <w:rPr>
          <w:rFonts w:ascii="Arial" w:hAnsi="Arial" w:cs="Arial"/>
          <w:lang w:val="es-MX"/>
        </w:rPr>
      </w:pPr>
    </w:p>
    <w:p w14:paraId="6146B128" w14:textId="77777777" w:rsidR="00026D67" w:rsidRPr="0097780B" w:rsidRDefault="00026D67" w:rsidP="00D9312C">
      <w:pPr>
        <w:spacing w:line="360" w:lineRule="auto"/>
        <w:jc w:val="both"/>
        <w:rPr>
          <w:rFonts w:ascii="Arial" w:hAnsi="Arial" w:cs="Arial"/>
          <w:lang w:val="es-MX"/>
        </w:rPr>
      </w:pPr>
    </w:p>
    <w:p w14:paraId="17375188" w14:textId="717A9661" w:rsidR="00026D67" w:rsidRPr="00026D67" w:rsidRDefault="00026D67" w:rsidP="00026D67">
      <w:pPr>
        <w:pStyle w:val="Caption"/>
        <w:keepNext/>
        <w:rPr>
          <w:rFonts w:ascii="Arial" w:hAnsi="Arial" w:cs="Arial"/>
          <w:sz w:val="24"/>
          <w:szCs w:val="24"/>
        </w:rPr>
      </w:pPr>
      <w:r w:rsidRPr="00026D67">
        <w:rPr>
          <w:rFonts w:ascii="Arial" w:hAnsi="Arial" w:cs="Arial"/>
          <w:b/>
          <w:bCs/>
          <w:i w:val="0"/>
          <w:iCs w:val="0"/>
          <w:sz w:val="24"/>
          <w:szCs w:val="24"/>
        </w:rPr>
        <w:t xml:space="preserve">Tabla </w:t>
      </w:r>
      <w:r w:rsidRPr="00026D67">
        <w:rPr>
          <w:rFonts w:ascii="Arial" w:hAnsi="Arial" w:cs="Arial"/>
          <w:b/>
          <w:bCs/>
          <w:i w:val="0"/>
          <w:iCs w:val="0"/>
          <w:sz w:val="24"/>
          <w:szCs w:val="24"/>
        </w:rPr>
        <w:fldChar w:fldCharType="begin"/>
      </w:r>
      <w:r w:rsidRPr="00026D67">
        <w:rPr>
          <w:rFonts w:ascii="Arial" w:hAnsi="Arial" w:cs="Arial"/>
          <w:b/>
          <w:bCs/>
          <w:i w:val="0"/>
          <w:iCs w:val="0"/>
          <w:sz w:val="24"/>
          <w:szCs w:val="24"/>
        </w:rPr>
        <w:instrText xml:space="preserve"> SEQ Tabla \* ARABIC </w:instrText>
      </w:r>
      <w:r w:rsidRPr="00026D67">
        <w:rPr>
          <w:rFonts w:ascii="Arial" w:hAnsi="Arial" w:cs="Arial"/>
          <w:b/>
          <w:bCs/>
          <w:i w:val="0"/>
          <w:iCs w:val="0"/>
          <w:sz w:val="24"/>
          <w:szCs w:val="24"/>
        </w:rPr>
        <w:fldChar w:fldCharType="separate"/>
      </w:r>
      <w:r w:rsidRPr="00026D67">
        <w:rPr>
          <w:rFonts w:ascii="Arial" w:hAnsi="Arial" w:cs="Arial"/>
          <w:b/>
          <w:bCs/>
          <w:i w:val="0"/>
          <w:iCs w:val="0"/>
          <w:noProof/>
          <w:sz w:val="24"/>
          <w:szCs w:val="24"/>
        </w:rPr>
        <w:t>5</w:t>
      </w:r>
      <w:r w:rsidRPr="00026D67">
        <w:rPr>
          <w:rFonts w:ascii="Arial" w:hAnsi="Arial" w:cs="Arial"/>
          <w:b/>
          <w:bCs/>
          <w:i w:val="0"/>
          <w:iCs w:val="0"/>
          <w:sz w:val="24"/>
          <w:szCs w:val="24"/>
        </w:rPr>
        <w:fldChar w:fldCharType="end"/>
      </w:r>
      <w:r w:rsidRPr="00026D67">
        <w:rPr>
          <w:rFonts w:ascii="Arial" w:hAnsi="Arial" w:cs="Arial"/>
          <w:b/>
          <w:bCs/>
          <w:i w:val="0"/>
          <w:iCs w:val="0"/>
          <w:sz w:val="24"/>
          <w:szCs w:val="24"/>
        </w:rPr>
        <w:t>.</w:t>
      </w:r>
      <w:r w:rsidRPr="00026D67">
        <w:rPr>
          <w:rFonts w:ascii="Arial" w:hAnsi="Arial" w:cs="Arial"/>
          <w:sz w:val="24"/>
          <w:szCs w:val="24"/>
        </w:rPr>
        <w:t xml:space="preserve"> </w:t>
      </w:r>
      <w:r w:rsidRPr="00026D67">
        <w:rPr>
          <w:rFonts w:ascii="Arial" w:hAnsi="Arial" w:cs="Arial"/>
          <w:b/>
          <w:bCs/>
          <w:i w:val="0"/>
          <w:iCs w:val="0"/>
          <w:sz w:val="24"/>
          <w:szCs w:val="24"/>
        </w:rPr>
        <w:t>Análisis pre vs. post de las pruebas de desempeño físico entre grupos</w:t>
      </w:r>
    </w:p>
    <w:tbl>
      <w:tblPr>
        <w:tblStyle w:val="PlainTable2"/>
        <w:tblpPr w:leftFromText="180" w:rightFromText="180" w:vertAnchor="page" w:horzAnchor="margin" w:tblpY="3457"/>
        <w:tblW w:w="13312" w:type="dxa"/>
        <w:tblLook w:val="04A0" w:firstRow="1" w:lastRow="0" w:firstColumn="1" w:lastColumn="0" w:noHBand="0" w:noVBand="1"/>
      </w:tblPr>
      <w:tblGrid>
        <w:gridCol w:w="2410"/>
        <w:gridCol w:w="1257"/>
        <w:gridCol w:w="1257"/>
        <w:gridCol w:w="831"/>
        <w:gridCol w:w="1258"/>
        <w:gridCol w:w="1258"/>
        <w:gridCol w:w="831"/>
        <w:gridCol w:w="1258"/>
        <w:gridCol w:w="1258"/>
        <w:gridCol w:w="831"/>
        <w:gridCol w:w="863"/>
      </w:tblGrid>
      <w:tr w:rsidR="00026D67" w:rsidRPr="00026D67" w14:paraId="66B88C88" w14:textId="77777777" w:rsidTr="0074775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hideMark/>
          </w:tcPr>
          <w:p w14:paraId="7AD9A527" w14:textId="77777777" w:rsidR="0097780B" w:rsidRPr="0097780B" w:rsidRDefault="0097780B" w:rsidP="0074775F">
            <w:pPr>
              <w:spacing w:line="360" w:lineRule="auto"/>
              <w:jc w:val="both"/>
              <w:rPr>
                <w:rFonts w:ascii="Arial" w:hAnsi="Arial" w:cs="Arial"/>
                <w:sz w:val="20"/>
                <w:szCs w:val="20"/>
                <w:lang w:val="es-MX"/>
              </w:rPr>
            </w:pPr>
            <w:r w:rsidRPr="0097780B">
              <w:rPr>
                <w:rFonts w:ascii="Arial" w:hAnsi="Arial" w:cs="Arial"/>
                <w:sz w:val="20"/>
                <w:szCs w:val="20"/>
                <w:lang w:val="es-MX"/>
              </w:rPr>
              <w:t> </w:t>
            </w:r>
          </w:p>
        </w:tc>
        <w:tc>
          <w:tcPr>
            <w:tcW w:w="0" w:type="auto"/>
            <w:gridSpan w:val="3"/>
            <w:hideMark/>
          </w:tcPr>
          <w:p w14:paraId="0AA1CB79" w14:textId="77777777" w:rsidR="0097780B" w:rsidRPr="0097780B" w:rsidRDefault="0097780B" w:rsidP="0074775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lang w:val="es-MX"/>
              </w:rPr>
              <w:t xml:space="preserve">GC </w:t>
            </w:r>
            <w:r w:rsidRPr="0097780B">
              <w:rPr>
                <w:rFonts w:ascii="Arial" w:hAnsi="Arial" w:cs="Arial"/>
                <w:sz w:val="20"/>
                <w:szCs w:val="20"/>
              </w:rPr>
              <w:t>(n=6)</w:t>
            </w:r>
          </w:p>
        </w:tc>
        <w:tc>
          <w:tcPr>
            <w:tcW w:w="0" w:type="auto"/>
            <w:gridSpan w:val="3"/>
            <w:hideMark/>
          </w:tcPr>
          <w:p w14:paraId="7C078FA2" w14:textId="77777777" w:rsidR="0097780B" w:rsidRPr="0097780B" w:rsidRDefault="0097780B" w:rsidP="0074775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GER (n=5)</w:t>
            </w:r>
          </w:p>
        </w:tc>
        <w:tc>
          <w:tcPr>
            <w:tcW w:w="0" w:type="auto"/>
            <w:gridSpan w:val="3"/>
            <w:hideMark/>
          </w:tcPr>
          <w:p w14:paraId="491E4046" w14:textId="77777777" w:rsidR="0097780B" w:rsidRPr="0097780B" w:rsidRDefault="0097780B" w:rsidP="0074775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GEC (n=7)</w:t>
            </w:r>
          </w:p>
        </w:tc>
        <w:tc>
          <w:tcPr>
            <w:tcW w:w="0" w:type="auto"/>
            <w:vMerge w:val="restart"/>
            <w:hideMark/>
          </w:tcPr>
          <w:p w14:paraId="2894922D" w14:textId="77777777" w:rsidR="0097780B" w:rsidRPr="0097780B" w:rsidRDefault="0097780B" w:rsidP="0074775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lang w:val="es-MX"/>
              </w:rPr>
              <w:t>Valor p</w:t>
            </w:r>
            <w:r w:rsidRPr="0097780B">
              <w:rPr>
                <w:rFonts w:ascii="Arial" w:hAnsi="Arial" w:cs="Arial"/>
                <w:sz w:val="20"/>
                <w:szCs w:val="20"/>
                <w:vertAlign w:val="superscript"/>
                <w:lang w:val="es-MX"/>
              </w:rPr>
              <w:t>b</w:t>
            </w:r>
          </w:p>
        </w:tc>
      </w:tr>
      <w:tr w:rsidR="00026D67" w:rsidRPr="00026D67" w14:paraId="401B8A58" w14:textId="77777777" w:rsidTr="0074775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50F4227C"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 </w:t>
            </w:r>
          </w:p>
        </w:tc>
        <w:tc>
          <w:tcPr>
            <w:tcW w:w="0" w:type="auto"/>
            <w:hideMark/>
          </w:tcPr>
          <w:p w14:paraId="40DBCA29"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Pre</w:t>
            </w:r>
          </w:p>
        </w:tc>
        <w:tc>
          <w:tcPr>
            <w:tcW w:w="0" w:type="auto"/>
            <w:hideMark/>
          </w:tcPr>
          <w:p w14:paraId="4AE75BF0"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Post</w:t>
            </w:r>
          </w:p>
        </w:tc>
        <w:tc>
          <w:tcPr>
            <w:tcW w:w="0" w:type="auto"/>
            <w:hideMark/>
          </w:tcPr>
          <w:p w14:paraId="28BEE63F"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Valor p</w:t>
            </w:r>
            <w:r w:rsidRPr="0097780B">
              <w:rPr>
                <w:rFonts w:ascii="Arial" w:hAnsi="Arial" w:cs="Arial"/>
                <w:sz w:val="20"/>
                <w:szCs w:val="20"/>
                <w:vertAlign w:val="superscript"/>
              </w:rPr>
              <w:t>a</w:t>
            </w:r>
          </w:p>
        </w:tc>
        <w:tc>
          <w:tcPr>
            <w:tcW w:w="0" w:type="auto"/>
            <w:hideMark/>
          </w:tcPr>
          <w:p w14:paraId="3E93D37B"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Pre</w:t>
            </w:r>
          </w:p>
        </w:tc>
        <w:tc>
          <w:tcPr>
            <w:tcW w:w="0" w:type="auto"/>
            <w:hideMark/>
          </w:tcPr>
          <w:p w14:paraId="4824F24B"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Post</w:t>
            </w:r>
          </w:p>
        </w:tc>
        <w:tc>
          <w:tcPr>
            <w:tcW w:w="0" w:type="auto"/>
            <w:hideMark/>
          </w:tcPr>
          <w:p w14:paraId="4C701491"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Valor p</w:t>
            </w:r>
            <w:r w:rsidRPr="0097780B">
              <w:rPr>
                <w:rFonts w:ascii="Arial" w:hAnsi="Arial" w:cs="Arial"/>
                <w:sz w:val="20"/>
                <w:szCs w:val="20"/>
                <w:vertAlign w:val="superscript"/>
              </w:rPr>
              <w:t>a</w:t>
            </w:r>
          </w:p>
        </w:tc>
        <w:tc>
          <w:tcPr>
            <w:tcW w:w="0" w:type="auto"/>
            <w:hideMark/>
          </w:tcPr>
          <w:p w14:paraId="02D1D90B"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Pre</w:t>
            </w:r>
          </w:p>
        </w:tc>
        <w:tc>
          <w:tcPr>
            <w:tcW w:w="0" w:type="auto"/>
            <w:hideMark/>
          </w:tcPr>
          <w:p w14:paraId="478030B8"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Post</w:t>
            </w:r>
          </w:p>
        </w:tc>
        <w:tc>
          <w:tcPr>
            <w:tcW w:w="0" w:type="auto"/>
            <w:hideMark/>
          </w:tcPr>
          <w:p w14:paraId="1BD9E5C1"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Valor p</w:t>
            </w:r>
            <w:r w:rsidRPr="0097780B">
              <w:rPr>
                <w:rFonts w:ascii="Arial" w:hAnsi="Arial" w:cs="Arial"/>
                <w:sz w:val="20"/>
                <w:szCs w:val="20"/>
                <w:vertAlign w:val="superscript"/>
              </w:rPr>
              <w:t>a</w:t>
            </w:r>
          </w:p>
        </w:tc>
        <w:tc>
          <w:tcPr>
            <w:tcW w:w="0" w:type="auto"/>
            <w:vMerge/>
            <w:hideMark/>
          </w:tcPr>
          <w:p w14:paraId="114FDE9B" w14:textId="77777777" w:rsidR="0097780B" w:rsidRPr="0097780B" w:rsidRDefault="0097780B" w:rsidP="0074775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622F0" w:rsidRPr="00026D67" w14:paraId="207C90A4" w14:textId="77777777" w:rsidTr="0074775F">
        <w:trPr>
          <w:trHeight w:val="1142"/>
        </w:trPr>
        <w:tc>
          <w:tcPr>
            <w:cnfStyle w:val="001000000000" w:firstRow="0" w:lastRow="0" w:firstColumn="1" w:lastColumn="0" w:oddVBand="0" w:evenVBand="0" w:oddHBand="0" w:evenHBand="0" w:firstRowFirstColumn="0" w:firstRowLastColumn="0" w:lastRowFirstColumn="0" w:lastRowLastColumn="0"/>
            <w:tcW w:w="0" w:type="auto"/>
            <w:hideMark/>
          </w:tcPr>
          <w:p w14:paraId="7B9727FC"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Fuerza de agarre (</w:t>
            </w:r>
            <w:proofErr w:type="spellStart"/>
            <w:r w:rsidRPr="0097780B">
              <w:rPr>
                <w:rFonts w:ascii="Arial" w:hAnsi="Arial" w:cs="Arial"/>
                <w:sz w:val="20"/>
                <w:szCs w:val="20"/>
                <w:lang w:val="es-MX"/>
              </w:rPr>
              <w:t>kg</w:t>
            </w:r>
            <w:r w:rsidRPr="0097780B">
              <w:rPr>
                <w:rFonts w:ascii="Arial" w:hAnsi="Arial" w:cs="Arial"/>
                <w:sz w:val="20"/>
                <w:szCs w:val="20"/>
                <w:vertAlign w:val="subscript"/>
                <w:lang w:val="es-MX"/>
              </w:rPr>
              <w:t>f</w:t>
            </w:r>
            <w:proofErr w:type="spellEnd"/>
            <w:r w:rsidRPr="0097780B">
              <w:rPr>
                <w:rFonts w:ascii="Arial" w:hAnsi="Arial" w:cs="Arial"/>
                <w:sz w:val="20"/>
                <w:szCs w:val="20"/>
                <w:lang w:val="es-MX"/>
              </w:rPr>
              <w:t>)</w:t>
            </w:r>
          </w:p>
        </w:tc>
        <w:tc>
          <w:tcPr>
            <w:tcW w:w="0" w:type="auto"/>
            <w:hideMark/>
          </w:tcPr>
          <w:p w14:paraId="70E5DC77"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24.36 </w:t>
            </w:r>
            <w:r w:rsidRPr="0097780B">
              <w:rPr>
                <w:rFonts w:ascii="Arial" w:hAnsi="Arial" w:cs="Arial"/>
                <w:sz w:val="20"/>
                <w:szCs w:val="20"/>
                <w:lang w:val="es-MX"/>
              </w:rPr>
              <w:t>± 4.16</w:t>
            </w:r>
          </w:p>
        </w:tc>
        <w:tc>
          <w:tcPr>
            <w:tcW w:w="0" w:type="auto"/>
            <w:hideMark/>
          </w:tcPr>
          <w:p w14:paraId="3D47AD0E"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27.42 </w:t>
            </w:r>
            <w:r w:rsidRPr="0097780B">
              <w:rPr>
                <w:rFonts w:ascii="Arial" w:hAnsi="Arial" w:cs="Arial"/>
                <w:sz w:val="20"/>
                <w:szCs w:val="20"/>
                <w:lang w:val="es-MX"/>
              </w:rPr>
              <w:t>± 3.30</w:t>
            </w:r>
          </w:p>
        </w:tc>
        <w:tc>
          <w:tcPr>
            <w:tcW w:w="0" w:type="auto"/>
            <w:hideMark/>
          </w:tcPr>
          <w:p w14:paraId="01C6B440"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0.535</w:t>
            </w:r>
          </w:p>
        </w:tc>
        <w:tc>
          <w:tcPr>
            <w:tcW w:w="0" w:type="auto"/>
            <w:hideMark/>
          </w:tcPr>
          <w:p w14:paraId="3EFDBDA3"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30.65 </w:t>
            </w:r>
            <w:r w:rsidRPr="0097780B">
              <w:rPr>
                <w:rFonts w:ascii="Arial" w:hAnsi="Arial" w:cs="Arial"/>
                <w:sz w:val="20"/>
                <w:szCs w:val="20"/>
                <w:lang w:val="es-MX"/>
              </w:rPr>
              <w:t>± 4.67</w:t>
            </w:r>
          </w:p>
        </w:tc>
        <w:tc>
          <w:tcPr>
            <w:tcW w:w="0" w:type="auto"/>
            <w:hideMark/>
          </w:tcPr>
          <w:p w14:paraId="2760ED83"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33.33 </w:t>
            </w:r>
            <w:r w:rsidRPr="0097780B">
              <w:rPr>
                <w:rFonts w:ascii="Arial" w:hAnsi="Arial" w:cs="Arial"/>
                <w:sz w:val="20"/>
                <w:szCs w:val="20"/>
                <w:lang w:val="es-MX"/>
              </w:rPr>
              <w:t>± 3.64</w:t>
            </w:r>
          </w:p>
        </w:tc>
        <w:tc>
          <w:tcPr>
            <w:tcW w:w="0" w:type="auto"/>
            <w:hideMark/>
          </w:tcPr>
          <w:p w14:paraId="4C847628"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0.095</w:t>
            </w:r>
          </w:p>
        </w:tc>
        <w:tc>
          <w:tcPr>
            <w:tcW w:w="0" w:type="auto"/>
            <w:hideMark/>
          </w:tcPr>
          <w:p w14:paraId="10B5C5E2"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28.24 </w:t>
            </w:r>
            <w:r w:rsidRPr="0097780B">
              <w:rPr>
                <w:rFonts w:ascii="Arial" w:hAnsi="Arial" w:cs="Arial"/>
                <w:sz w:val="20"/>
                <w:szCs w:val="20"/>
                <w:lang w:val="es-MX"/>
              </w:rPr>
              <w:t>± 2.77</w:t>
            </w:r>
          </w:p>
        </w:tc>
        <w:tc>
          <w:tcPr>
            <w:tcW w:w="0" w:type="auto"/>
            <w:hideMark/>
          </w:tcPr>
          <w:p w14:paraId="2875316A"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28.83 </w:t>
            </w:r>
            <w:r w:rsidRPr="0097780B">
              <w:rPr>
                <w:rFonts w:ascii="Arial" w:hAnsi="Arial" w:cs="Arial"/>
                <w:sz w:val="20"/>
                <w:szCs w:val="20"/>
                <w:lang w:val="es-MX"/>
              </w:rPr>
              <w:t>± 2.80</w:t>
            </w:r>
          </w:p>
        </w:tc>
        <w:tc>
          <w:tcPr>
            <w:tcW w:w="0" w:type="auto"/>
            <w:hideMark/>
          </w:tcPr>
          <w:p w14:paraId="32F57FD5"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0.547</w:t>
            </w:r>
          </w:p>
        </w:tc>
        <w:tc>
          <w:tcPr>
            <w:tcW w:w="0" w:type="auto"/>
            <w:hideMark/>
          </w:tcPr>
          <w:p w14:paraId="0F35DD6E"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0.482</w:t>
            </w:r>
          </w:p>
        </w:tc>
      </w:tr>
      <w:tr w:rsidR="00026D67" w:rsidRPr="00026D67" w14:paraId="64D4CF51" w14:textId="77777777" w:rsidTr="0074775F">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0" w:type="auto"/>
            <w:hideMark/>
          </w:tcPr>
          <w:p w14:paraId="65C5A896"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Prueba de abdominales (reps)</w:t>
            </w:r>
          </w:p>
        </w:tc>
        <w:tc>
          <w:tcPr>
            <w:tcW w:w="0" w:type="auto"/>
            <w:hideMark/>
          </w:tcPr>
          <w:p w14:paraId="6AE1677E"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13.00 </w:t>
            </w:r>
            <w:r w:rsidRPr="0097780B">
              <w:rPr>
                <w:rFonts w:ascii="Arial" w:hAnsi="Arial" w:cs="Arial"/>
                <w:sz w:val="20"/>
                <w:szCs w:val="20"/>
                <w:lang w:val="es-MX"/>
              </w:rPr>
              <w:t>± 3.21</w:t>
            </w:r>
          </w:p>
        </w:tc>
        <w:tc>
          <w:tcPr>
            <w:tcW w:w="0" w:type="auto"/>
            <w:hideMark/>
          </w:tcPr>
          <w:p w14:paraId="644C4748"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14.66 </w:t>
            </w:r>
            <w:r w:rsidRPr="0097780B">
              <w:rPr>
                <w:rFonts w:ascii="Arial" w:hAnsi="Arial" w:cs="Arial"/>
                <w:sz w:val="20"/>
                <w:szCs w:val="20"/>
                <w:lang w:val="es-MX"/>
              </w:rPr>
              <w:t>± 1.72</w:t>
            </w:r>
          </w:p>
        </w:tc>
        <w:tc>
          <w:tcPr>
            <w:tcW w:w="0" w:type="auto"/>
            <w:hideMark/>
          </w:tcPr>
          <w:p w14:paraId="5D576E65" w14:textId="3D5EC3CD"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0.410</w:t>
            </w:r>
          </w:p>
        </w:tc>
        <w:tc>
          <w:tcPr>
            <w:tcW w:w="0" w:type="auto"/>
            <w:hideMark/>
          </w:tcPr>
          <w:p w14:paraId="7E32FF57"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10.60 </w:t>
            </w:r>
            <w:r w:rsidRPr="0097780B">
              <w:rPr>
                <w:rFonts w:ascii="Arial" w:hAnsi="Arial" w:cs="Arial"/>
                <w:sz w:val="20"/>
                <w:szCs w:val="20"/>
                <w:lang w:val="es-MX"/>
              </w:rPr>
              <w:t>± 2.24</w:t>
            </w:r>
          </w:p>
        </w:tc>
        <w:tc>
          <w:tcPr>
            <w:tcW w:w="0" w:type="auto"/>
            <w:hideMark/>
          </w:tcPr>
          <w:p w14:paraId="057AA6F8"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23.00 </w:t>
            </w:r>
            <w:r w:rsidRPr="0097780B">
              <w:rPr>
                <w:rFonts w:ascii="Arial" w:hAnsi="Arial" w:cs="Arial"/>
                <w:sz w:val="20"/>
                <w:szCs w:val="20"/>
                <w:lang w:val="es-MX"/>
              </w:rPr>
              <w:t>± 1.30</w:t>
            </w:r>
          </w:p>
        </w:tc>
        <w:tc>
          <w:tcPr>
            <w:tcW w:w="0" w:type="auto"/>
            <w:hideMark/>
          </w:tcPr>
          <w:p w14:paraId="4D641D08" w14:textId="650709D1"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0.020</w:t>
            </w:r>
          </w:p>
        </w:tc>
        <w:tc>
          <w:tcPr>
            <w:tcW w:w="0" w:type="auto"/>
            <w:hideMark/>
          </w:tcPr>
          <w:p w14:paraId="14BAAACE"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14.28 </w:t>
            </w:r>
            <w:r w:rsidRPr="0097780B">
              <w:rPr>
                <w:rFonts w:ascii="Arial" w:hAnsi="Arial" w:cs="Arial"/>
                <w:sz w:val="20"/>
                <w:szCs w:val="20"/>
                <w:lang w:val="es-MX"/>
              </w:rPr>
              <w:t>± 1.96</w:t>
            </w:r>
          </w:p>
        </w:tc>
        <w:tc>
          <w:tcPr>
            <w:tcW w:w="0" w:type="auto"/>
            <w:hideMark/>
          </w:tcPr>
          <w:p w14:paraId="58374DB8"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22.00 </w:t>
            </w:r>
            <w:r w:rsidRPr="0097780B">
              <w:rPr>
                <w:rFonts w:ascii="Arial" w:hAnsi="Arial" w:cs="Arial"/>
                <w:sz w:val="20"/>
                <w:szCs w:val="20"/>
                <w:lang w:val="es-MX"/>
              </w:rPr>
              <w:t>± 1.91</w:t>
            </w:r>
          </w:p>
        </w:tc>
        <w:tc>
          <w:tcPr>
            <w:tcW w:w="0" w:type="auto"/>
            <w:hideMark/>
          </w:tcPr>
          <w:p w14:paraId="5CAD5E1D" w14:textId="5A107782"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0.009</w:t>
            </w:r>
          </w:p>
        </w:tc>
        <w:tc>
          <w:tcPr>
            <w:tcW w:w="0" w:type="auto"/>
            <w:hideMark/>
          </w:tcPr>
          <w:p w14:paraId="02006950" w14:textId="3AF8C1AE"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0.009</w:t>
            </w:r>
          </w:p>
        </w:tc>
      </w:tr>
      <w:tr w:rsidR="00F622F0" w:rsidRPr="00026D67" w14:paraId="69F2A28C" w14:textId="77777777" w:rsidTr="0074775F">
        <w:trPr>
          <w:trHeight w:val="947"/>
        </w:trPr>
        <w:tc>
          <w:tcPr>
            <w:cnfStyle w:val="001000000000" w:firstRow="0" w:lastRow="0" w:firstColumn="1" w:lastColumn="0" w:oddVBand="0" w:evenVBand="0" w:oddHBand="0" w:evenHBand="0" w:firstRowFirstColumn="0" w:firstRowLastColumn="0" w:lastRowFirstColumn="0" w:lastRowLastColumn="0"/>
            <w:tcW w:w="0" w:type="auto"/>
            <w:hideMark/>
          </w:tcPr>
          <w:p w14:paraId="53224B8A"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Prueba de sentadillas (reps)</w:t>
            </w:r>
          </w:p>
        </w:tc>
        <w:tc>
          <w:tcPr>
            <w:tcW w:w="0" w:type="auto"/>
            <w:hideMark/>
          </w:tcPr>
          <w:p w14:paraId="65B8DA4D"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14.00 </w:t>
            </w:r>
            <w:r w:rsidRPr="0097780B">
              <w:rPr>
                <w:rFonts w:ascii="Arial" w:hAnsi="Arial" w:cs="Arial"/>
                <w:sz w:val="20"/>
                <w:szCs w:val="20"/>
                <w:lang w:val="es-MX"/>
              </w:rPr>
              <w:t>± 1.00</w:t>
            </w:r>
          </w:p>
        </w:tc>
        <w:tc>
          <w:tcPr>
            <w:tcW w:w="0" w:type="auto"/>
            <w:hideMark/>
          </w:tcPr>
          <w:p w14:paraId="7F9BAEC2"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18.16 </w:t>
            </w:r>
            <w:r w:rsidRPr="0097780B">
              <w:rPr>
                <w:rFonts w:ascii="Arial" w:hAnsi="Arial" w:cs="Arial"/>
                <w:sz w:val="20"/>
                <w:szCs w:val="20"/>
                <w:lang w:val="es-MX"/>
              </w:rPr>
              <w:t>± 2.00</w:t>
            </w:r>
          </w:p>
        </w:tc>
        <w:tc>
          <w:tcPr>
            <w:tcW w:w="0" w:type="auto"/>
            <w:hideMark/>
          </w:tcPr>
          <w:p w14:paraId="128C532C"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0.090</w:t>
            </w:r>
          </w:p>
        </w:tc>
        <w:tc>
          <w:tcPr>
            <w:tcW w:w="0" w:type="auto"/>
            <w:hideMark/>
          </w:tcPr>
          <w:p w14:paraId="2C5F7ADB"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17.00 </w:t>
            </w:r>
            <w:r w:rsidRPr="0097780B">
              <w:rPr>
                <w:rFonts w:ascii="Arial" w:hAnsi="Arial" w:cs="Arial"/>
                <w:sz w:val="20"/>
                <w:szCs w:val="20"/>
                <w:lang w:val="es-MX"/>
              </w:rPr>
              <w:t>± 5.12</w:t>
            </w:r>
          </w:p>
        </w:tc>
        <w:tc>
          <w:tcPr>
            <w:tcW w:w="0" w:type="auto"/>
            <w:hideMark/>
          </w:tcPr>
          <w:p w14:paraId="65F8DC0D"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34.4 </w:t>
            </w:r>
            <w:r w:rsidRPr="0097780B">
              <w:rPr>
                <w:rFonts w:ascii="Arial" w:hAnsi="Arial" w:cs="Arial"/>
                <w:sz w:val="20"/>
                <w:szCs w:val="20"/>
                <w:lang w:val="es-MX"/>
              </w:rPr>
              <w:t>± 3.18</w:t>
            </w:r>
          </w:p>
        </w:tc>
        <w:tc>
          <w:tcPr>
            <w:tcW w:w="0" w:type="auto"/>
            <w:hideMark/>
          </w:tcPr>
          <w:p w14:paraId="171EDD48" w14:textId="562F0606"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0.009</w:t>
            </w:r>
          </w:p>
        </w:tc>
        <w:tc>
          <w:tcPr>
            <w:tcW w:w="0" w:type="auto"/>
            <w:hideMark/>
          </w:tcPr>
          <w:p w14:paraId="161BBE9E"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16.71 </w:t>
            </w:r>
            <w:r w:rsidRPr="0097780B">
              <w:rPr>
                <w:rFonts w:ascii="Arial" w:hAnsi="Arial" w:cs="Arial"/>
                <w:sz w:val="20"/>
                <w:szCs w:val="20"/>
                <w:lang w:val="es-MX"/>
              </w:rPr>
              <w:t>± 3.04</w:t>
            </w:r>
          </w:p>
        </w:tc>
        <w:tc>
          <w:tcPr>
            <w:tcW w:w="0" w:type="auto"/>
            <w:hideMark/>
          </w:tcPr>
          <w:p w14:paraId="416C745D"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34.00 </w:t>
            </w:r>
            <w:r w:rsidRPr="0097780B">
              <w:rPr>
                <w:rFonts w:ascii="Arial" w:hAnsi="Arial" w:cs="Arial"/>
                <w:sz w:val="20"/>
                <w:szCs w:val="20"/>
                <w:lang w:val="es-MX"/>
              </w:rPr>
              <w:t>± 1.55</w:t>
            </w:r>
          </w:p>
        </w:tc>
        <w:tc>
          <w:tcPr>
            <w:tcW w:w="0" w:type="auto"/>
            <w:hideMark/>
          </w:tcPr>
          <w:p w14:paraId="78B8D9C4" w14:textId="44C5953C"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0.003</w:t>
            </w:r>
          </w:p>
        </w:tc>
        <w:tc>
          <w:tcPr>
            <w:tcW w:w="0" w:type="auto"/>
            <w:hideMark/>
          </w:tcPr>
          <w:p w14:paraId="66872711" w14:textId="742AF212"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0.000</w:t>
            </w:r>
          </w:p>
        </w:tc>
      </w:tr>
      <w:tr w:rsidR="00026D67" w:rsidRPr="00026D67" w14:paraId="66E5C07E" w14:textId="77777777" w:rsidTr="0074775F">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0" w:type="auto"/>
            <w:hideMark/>
          </w:tcPr>
          <w:p w14:paraId="1C52B9DD"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“Levántate y anda” (</w:t>
            </w:r>
            <w:proofErr w:type="spellStart"/>
            <w:r w:rsidRPr="0097780B">
              <w:rPr>
                <w:rFonts w:ascii="Arial" w:hAnsi="Arial" w:cs="Arial"/>
                <w:sz w:val="20"/>
                <w:szCs w:val="20"/>
                <w:lang w:val="es-MX"/>
              </w:rPr>
              <w:t>seg</w:t>
            </w:r>
            <w:proofErr w:type="spellEnd"/>
            <w:r w:rsidRPr="0097780B">
              <w:rPr>
                <w:rFonts w:ascii="Arial" w:hAnsi="Arial" w:cs="Arial"/>
                <w:sz w:val="20"/>
                <w:szCs w:val="20"/>
                <w:lang w:val="es-MX"/>
              </w:rPr>
              <w:t>)</w:t>
            </w:r>
          </w:p>
        </w:tc>
        <w:tc>
          <w:tcPr>
            <w:tcW w:w="0" w:type="auto"/>
            <w:hideMark/>
          </w:tcPr>
          <w:p w14:paraId="2CB1276E"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9.22 </w:t>
            </w:r>
            <w:r w:rsidRPr="0097780B">
              <w:rPr>
                <w:rFonts w:ascii="Arial" w:hAnsi="Arial" w:cs="Arial"/>
                <w:sz w:val="20"/>
                <w:szCs w:val="20"/>
                <w:lang w:val="es-MX"/>
              </w:rPr>
              <w:t>± 1.18</w:t>
            </w:r>
          </w:p>
        </w:tc>
        <w:tc>
          <w:tcPr>
            <w:tcW w:w="0" w:type="auto"/>
            <w:hideMark/>
          </w:tcPr>
          <w:p w14:paraId="23428021"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6.75 </w:t>
            </w:r>
            <w:r w:rsidRPr="0097780B">
              <w:rPr>
                <w:rFonts w:ascii="Arial" w:hAnsi="Arial" w:cs="Arial"/>
                <w:sz w:val="20"/>
                <w:szCs w:val="20"/>
                <w:lang w:val="es-MX"/>
              </w:rPr>
              <w:t>± 0.28</w:t>
            </w:r>
          </w:p>
        </w:tc>
        <w:tc>
          <w:tcPr>
            <w:tcW w:w="0" w:type="auto"/>
            <w:hideMark/>
          </w:tcPr>
          <w:p w14:paraId="493A2B4F" w14:textId="10CF96DA"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0.050</w:t>
            </w:r>
          </w:p>
        </w:tc>
        <w:tc>
          <w:tcPr>
            <w:tcW w:w="0" w:type="auto"/>
            <w:hideMark/>
          </w:tcPr>
          <w:p w14:paraId="579C4DD0"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8.26 </w:t>
            </w:r>
            <w:r w:rsidRPr="0097780B">
              <w:rPr>
                <w:rFonts w:ascii="Arial" w:hAnsi="Arial" w:cs="Arial"/>
                <w:sz w:val="20"/>
                <w:szCs w:val="20"/>
                <w:lang w:val="es-MX"/>
              </w:rPr>
              <w:t>± 0.89</w:t>
            </w:r>
          </w:p>
        </w:tc>
        <w:tc>
          <w:tcPr>
            <w:tcW w:w="0" w:type="auto"/>
            <w:hideMark/>
          </w:tcPr>
          <w:p w14:paraId="226215C8"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5.06 </w:t>
            </w:r>
            <w:r w:rsidRPr="0097780B">
              <w:rPr>
                <w:rFonts w:ascii="Arial" w:hAnsi="Arial" w:cs="Arial"/>
                <w:sz w:val="20"/>
                <w:szCs w:val="20"/>
                <w:lang w:val="es-MX"/>
              </w:rPr>
              <w:t>± 0.23</w:t>
            </w:r>
          </w:p>
        </w:tc>
        <w:tc>
          <w:tcPr>
            <w:tcW w:w="0" w:type="auto"/>
            <w:hideMark/>
          </w:tcPr>
          <w:p w14:paraId="27EA5EBE" w14:textId="18CB9C11"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0.029</w:t>
            </w:r>
          </w:p>
        </w:tc>
        <w:tc>
          <w:tcPr>
            <w:tcW w:w="0" w:type="auto"/>
            <w:hideMark/>
          </w:tcPr>
          <w:p w14:paraId="654164A1"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8.59 </w:t>
            </w:r>
            <w:r w:rsidRPr="0097780B">
              <w:rPr>
                <w:rFonts w:ascii="Arial" w:hAnsi="Arial" w:cs="Arial"/>
                <w:sz w:val="20"/>
                <w:szCs w:val="20"/>
                <w:lang w:val="es-MX"/>
              </w:rPr>
              <w:t>± 1.77</w:t>
            </w:r>
          </w:p>
        </w:tc>
        <w:tc>
          <w:tcPr>
            <w:tcW w:w="0" w:type="auto"/>
            <w:hideMark/>
          </w:tcPr>
          <w:p w14:paraId="18BE6AE1"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5.14 </w:t>
            </w:r>
            <w:r w:rsidRPr="0097780B">
              <w:rPr>
                <w:rFonts w:ascii="Arial" w:hAnsi="Arial" w:cs="Arial"/>
                <w:sz w:val="20"/>
                <w:szCs w:val="20"/>
                <w:lang w:val="es-MX"/>
              </w:rPr>
              <w:t>± 0.20</w:t>
            </w:r>
          </w:p>
        </w:tc>
        <w:tc>
          <w:tcPr>
            <w:tcW w:w="0" w:type="auto"/>
            <w:hideMark/>
          </w:tcPr>
          <w:p w14:paraId="5C16ECEA" w14:textId="77777777"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0.084</w:t>
            </w:r>
          </w:p>
        </w:tc>
        <w:tc>
          <w:tcPr>
            <w:tcW w:w="0" w:type="auto"/>
            <w:hideMark/>
          </w:tcPr>
          <w:p w14:paraId="768BA92B" w14:textId="2E958FC8" w:rsidR="0097780B" w:rsidRPr="0097780B" w:rsidRDefault="0097780B" w:rsidP="0074775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80B">
              <w:rPr>
                <w:rFonts w:ascii="Arial" w:hAnsi="Arial" w:cs="Arial"/>
                <w:sz w:val="20"/>
                <w:szCs w:val="20"/>
              </w:rPr>
              <w:t>0.000</w:t>
            </w:r>
          </w:p>
        </w:tc>
      </w:tr>
      <w:tr w:rsidR="00F622F0" w:rsidRPr="00026D67" w14:paraId="48157F48" w14:textId="77777777" w:rsidTr="0074775F">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14:paraId="171694F1" w14:textId="77777777" w:rsidR="0097780B" w:rsidRPr="0097780B" w:rsidRDefault="0097780B" w:rsidP="0074775F">
            <w:pPr>
              <w:spacing w:line="360" w:lineRule="auto"/>
              <w:jc w:val="both"/>
              <w:rPr>
                <w:rFonts w:ascii="Arial" w:hAnsi="Arial" w:cs="Arial"/>
                <w:sz w:val="20"/>
                <w:szCs w:val="20"/>
              </w:rPr>
            </w:pPr>
            <w:r w:rsidRPr="0097780B">
              <w:rPr>
                <w:rFonts w:ascii="Arial" w:hAnsi="Arial" w:cs="Arial"/>
                <w:sz w:val="20"/>
                <w:szCs w:val="20"/>
                <w:lang w:val="es-MX"/>
              </w:rPr>
              <w:t>Caminata de 6 minutos (m)</w:t>
            </w:r>
          </w:p>
        </w:tc>
        <w:tc>
          <w:tcPr>
            <w:tcW w:w="0" w:type="auto"/>
            <w:hideMark/>
          </w:tcPr>
          <w:p w14:paraId="585C9BFE"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387.00 </w:t>
            </w:r>
            <w:r w:rsidRPr="0097780B">
              <w:rPr>
                <w:rFonts w:ascii="Arial" w:hAnsi="Arial" w:cs="Arial"/>
                <w:sz w:val="20"/>
                <w:szCs w:val="20"/>
                <w:lang w:val="es-MX"/>
              </w:rPr>
              <w:t>± 36.37</w:t>
            </w:r>
          </w:p>
        </w:tc>
        <w:tc>
          <w:tcPr>
            <w:tcW w:w="0" w:type="auto"/>
            <w:hideMark/>
          </w:tcPr>
          <w:p w14:paraId="73D9532F"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463.00 </w:t>
            </w:r>
            <w:r w:rsidRPr="0097780B">
              <w:rPr>
                <w:rFonts w:ascii="Arial" w:hAnsi="Arial" w:cs="Arial"/>
                <w:sz w:val="20"/>
                <w:szCs w:val="20"/>
                <w:lang w:val="es-MX"/>
              </w:rPr>
              <w:t>± 30.73</w:t>
            </w:r>
          </w:p>
        </w:tc>
        <w:tc>
          <w:tcPr>
            <w:tcW w:w="0" w:type="auto"/>
            <w:hideMark/>
          </w:tcPr>
          <w:p w14:paraId="73593233" w14:textId="61C1C9A1"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0.166</w:t>
            </w:r>
          </w:p>
        </w:tc>
        <w:tc>
          <w:tcPr>
            <w:tcW w:w="0" w:type="auto"/>
            <w:hideMark/>
          </w:tcPr>
          <w:p w14:paraId="3FE7BFBF"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419.00 </w:t>
            </w:r>
            <w:r w:rsidRPr="0097780B">
              <w:rPr>
                <w:rFonts w:ascii="Arial" w:hAnsi="Arial" w:cs="Arial"/>
                <w:sz w:val="20"/>
                <w:szCs w:val="20"/>
                <w:lang w:val="es-MX"/>
              </w:rPr>
              <w:t>± 21.24</w:t>
            </w:r>
          </w:p>
        </w:tc>
        <w:tc>
          <w:tcPr>
            <w:tcW w:w="0" w:type="auto"/>
            <w:hideMark/>
          </w:tcPr>
          <w:p w14:paraId="38B3C78C"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657.40 </w:t>
            </w:r>
            <w:r w:rsidRPr="0097780B">
              <w:rPr>
                <w:rFonts w:ascii="Arial" w:hAnsi="Arial" w:cs="Arial"/>
                <w:sz w:val="20"/>
                <w:szCs w:val="20"/>
                <w:lang w:val="es-MX"/>
              </w:rPr>
              <w:t>± 42.30</w:t>
            </w:r>
          </w:p>
        </w:tc>
        <w:tc>
          <w:tcPr>
            <w:tcW w:w="0" w:type="auto"/>
            <w:hideMark/>
          </w:tcPr>
          <w:p w14:paraId="63FB126F" w14:textId="06DAF3E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0.007</w:t>
            </w:r>
          </w:p>
        </w:tc>
        <w:tc>
          <w:tcPr>
            <w:tcW w:w="0" w:type="auto"/>
            <w:hideMark/>
          </w:tcPr>
          <w:p w14:paraId="31FF1E97"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388.28 </w:t>
            </w:r>
            <w:r w:rsidRPr="0097780B">
              <w:rPr>
                <w:rFonts w:ascii="Arial" w:hAnsi="Arial" w:cs="Arial"/>
                <w:sz w:val="20"/>
                <w:szCs w:val="20"/>
                <w:lang w:val="es-MX"/>
              </w:rPr>
              <w:t>± 44.67</w:t>
            </w:r>
          </w:p>
        </w:tc>
        <w:tc>
          <w:tcPr>
            <w:tcW w:w="0" w:type="auto"/>
            <w:hideMark/>
          </w:tcPr>
          <w:p w14:paraId="234560C6" w14:textId="77777777"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 xml:space="preserve">592.14 </w:t>
            </w:r>
            <w:r w:rsidRPr="0097780B">
              <w:rPr>
                <w:rFonts w:ascii="Arial" w:hAnsi="Arial" w:cs="Arial"/>
                <w:sz w:val="20"/>
                <w:szCs w:val="20"/>
                <w:lang w:val="es-MX"/>
              </w:rPr>
              <w:t>± 28.80</w:t>
            </w:r>
          </w:p>
        </w:tc>
        <w:tc>
          <w:tcPr>
            <w:tcW w:w="0" w:type="auto"/>
            <w:hideMark/>
          </w:tcPr>
          <w:p w14:paraId="379E3E35" w14:textId="6AFB04EC"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0.006</w:t>
            </w:r>
          </w:p>
        </w:tc>
        <w:tc>
          <w:tcPr>
            <w:tcW w:w="0" w:type="auto"/>
            <w:hideMark/>
          </w:tcPr>
          <w:p w14:paraId="4CC54C86" w14:textId="3AB9AD38" w:rsidR="0097780B" w:rsidRPr="0097780B" w:rsidRDefault="0097780B" w:rsidP="0074775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80B">
              <w:rPr>
                <w:rFonts w:ascii="Arial" w:hAnsi="Arial" w:cs="Arial"/>
                <w:sz w:val="20"/>
                <w:szCs w:val="20"/>
              </w:rPr>
              <w:t>0.004</w:t>
            </w:r>
          </w:p>
        </w:tc>
      </w:tr>
    </w:tbl>
    <w:p w14:paraId="5FC3C191" w14:textId="62610A0A" w:rsidR="00026D67" w:rsidRDefault="00026D67" w:rsidP="00D9312C">
      <w:pPr>
        <w:spacing w:line="360" w:lineRule="auto"/>
        <w:jc w:val="both"/>
        <w:rPr>
          <w:rFonts w:ascii="Arial" w:hAnsi="Arial" w:cs="Arial"/>
          <w:lang w:val="es-MX"/>
        </w:rPr>
        <w:sectPr w:rsidR="00026D67" w:rsidSect="00026D67">
          <w:pgSz w:w="15840" w:h="12240" w:orient="landscape"/>
          <w:pgMar w:top="1440" w:right="1440" w:bottom="1440" w:left="1440" w:header="720" w:footer="720" w:gutter="0"/>
          <w:cols w:space="720"/>
          <w:docGrid w:linePitch="360"/>
        </w:sectPr>
      </w:pPr>
      <w:r w:rsidRPr="00026D67">
        <w:rPr>
          <w:rFonts w:ascii="Arial" w:hAnsi="Arial" w:cs="Arial"/>
          <w:noProof/>
          <w:lang w:val="es-MX"/>
        </w:rPr>
        <mc:AlternateContent>
          <mc:Choice Requires="wps">
            <w:drawing>
              <wp:anchor distT="45720" distB="45720" distL="114300" distR="114300" simplePos="0" relativeHeight="251659264" behindDoc="0" locked="0" layoutInCell="1" allowOverlap="1" wp14:anchorId="4DF87BD9" wp14:editId="02C85466">
                <wp:simplePos x="0" y="0"/>
                <wp:positionH relativeFrom="column">
                  <wp:posOffset>-50800</wp:posOffset>
                </wp:positionH>
                <wp:positionV relativeFrom="paragraph">
                  <wp:posOffset>3896995</wp:posOffset>
                </wp:positionV>
                <wp:extent cx="853440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1404620"/>
                        </a:xfrm>
                        <a:prstGeom prst="rect">
                          <a:avLst/>
                        </a:prstGeom>
                        <a:noFill/>
                        <a:ln w="9525">
                          <a:noFill/>
                          <a:miter lim="800000"/>
                          <a:headEnd/>
                          <a:tailEnd/>
                        </a:ln>
                      </wps:spPr>
                      <wps:txbx>
                        <w:txbxContent>
                          <w:p w14:paraId="4A748691" w14:textId="4E75B977" w:rsidR="00026D67" w:rsidRPr="00026D67" w:rsidRDefault="00026D67" w:rsidP="00026D67">
                            <w:pPr>
                              <w:jc w:val="both"/>
                              <w:rPr>
                                <w:rFonts w:ascii="Arial" w:hAnsi="Arial" w:cs="Arial"/>
                                <w:sz w:val="16"/>
                                <w:szCs w:val="16"/>
                                <w:lang w:val="es-MX"/>
                              </w:rPr>
                            </w:pPr>
                            <w:r w:rsidRPr="00026D67">
                              <w:rPr>
                                <w:rFonts w:ascii="Arial" w:hAnsi="Arial" w:cs="Arial"/>
                                <w:sz w:val="16"/>
                                <w:szCs w:val="16"/>
                                <w:lang w:val="es-MX"/>
                              </w:rPr>
                              <w:t>GC: Grupo control; GER: Grupo Ejercicio de Resistencia; GEC: Grupo Ejercicio Cruzado; Kg</w:t>
                            </w:r>
                            <w:r w:rsidRPr="00026D67">
                              <w:rPr>
                                <w:rFonts w:ascii="Arial" w:hAnsi="Arial" w:cs="Arial"/>
                                <w:sz w:val="16"/>
                                <w:szCs w:val="16"/>
                                <w:vertAlign w:val="subscript"/>
                                <w:lang w:val="es-MX"/>
                              </w:rPr>
                              <w:t>f</w:t>
                            </w:r>
                            <w:r w:rsidRPr="00026D67">
                              <w:rPr>
                                <w:rFonts w:ascii="Arial" w:hAnsi="Arial" w:cs="Arial"/>
                                <w:sz w:val="16"/>
                                <w:szCs w:val="16"/>
                                <w:lang w:val="es-MX"/>
                              </w:rPr>
                              <w:t>: kilogramos fuerza; reps: repeticiones; seg: segundos; m:</w:t>
                            </w:r>
                            <w:r>
                              <w:rPr>
                                <w:rFonts w:ascii="Arial" w:hAnsi="Arial" w:cs="Arial"/>
                                <w:sz w:val="16"/>
                                <w:szCs w:val="16"/>
                                <w:lang w:val="es-MX"/>
                              </w:rPr>
                              <w:t xml:space="preserve"> </w:t>
                            </w:r>
                            <w:r w:rsidRPr="00026D67">
                              <w:rPr>
                                <w:rFonts w:ascii="Arial" w:hAnsi="Arial" w:cs="Arial"/>
                                <w:sz w:val="16"/>
                                <w:szCs w:val="16"/>
                                <w:lang w:val="es-MX"/>
                              </w:rPr>
                              <w:t>metros. Se realizaron pruebas de T de student pareadas para el análisis pre vs. post intervención (p</w:t>
                            </w:r>
                            <w:r w:rsidRPr="00026D67">
                              <w:rPr>
                                <w:rFonts w:ascii="Arial" w:hAnsi="Arial" w:cs="Arial"/>
                                <w:sz w:val="16"/>
                                <w:szCs w:val="16"/>
                                <w:vertAlign w:val="superscript"/>
                                <w:lang w:val="es-MX"/>
                              </w:rPr>
                              <w:t>a</w:t>
                            </w:r>
                            <w:r w:rsidRPr="00026D67">
                              <w:rPr>
                                <w:rFonts w:ascii="Arial" w:hAnsi="Arial" w:cs="Arial"/>
                                <w:sz w:val="16"/>
                                <w:szCs w:val="16"/>
                                <w:lang w:val="es-MX"/>
                              </w:rPr>
                              <w:t>) y ANOVA para comparación entre grupos (p</w:t>
                            </w:r>
                            <w:r w:rsidRPr="00026D67">
                              <w:rPr>
                                <w:rFonts w:ascii="Arial" w:hAnsi="Arial" w:cs="Arial"/>
                                <w:sz w:val="16"/>
                                <w:szCs w:val="16"/>
                                <w:vertAlign w:val="superscript"/>
                                <w:lang w:val="es-MX"/>
                              </w:rPr>
                              <w:t>b</w:t>
                            </w:r>
                            <w:r w:rsidRPr="00026D67">
                              <w:rPr>
                                <w:rFonts w:ascii="Arial" w:hAnsi="Arial" w:cs="Arial"/>
                                <w:sz w:val="16"/>
                                <w:szCs w:val="16"/>
                                <w:lang w:val="es-MX"/>
                              </w:rPr>
                              <w:t>). Se considero como estadísticamente significativo un valor de p&lt;0.05.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87BD9" id="_x0000_s1027" type="#_x0000_t202" style="position:absolute;left:0;text-align:left;margin-left:-4pt;margin-top:306.85pt;width:6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" filled="f" stroked="f">
                <v:textbox style="mso-fit-shape-to-text:t">
                  <w:txbxContent>
                    <w:p w14:paraId="4A748691" w14:textId="4E75B977" w:rsidR="00026D67" w:rsidRPr="00026D67" w:rsidRDefault="00026D67" w:rsidP="00026D67">
                      <w:pPr>
                        <w:jc w:val="both"/>
                        <w:rPr>
                          <w:rFonts w:ascii="Arial" w:hAnsi="Arial" w:cs="Arial"/>
                          <w:sz w:val="16"/>
                          <w:szCs w:val="16"/>
                          <w:lang w:val="es-MX"/>
                        </w:rPr>
                      </w:pPr>
                      <w:r w:rsidRPr="00026D67">
                        <w:rPr>
                          <w:rFonts w:ascii="Arial" w:hAnsi="Arial" w:cs="Arial"/>
                          <w:sz w:val="16"/>
                          <w:szCs w:val="16"/>
                          <w:lang w:val="es-MX"/>
                        </w:rPr>
                        <w:t>GC: Grupo control; GER: Grupo Ejercicio de Resistencia; GEC: Grupo Ejercicio Cruzado; Kg</w:t>
                      </w:r>
                      <w:r w:rsidRPr="00026D67">
                        <w:rPr>
                          <w:rFonts w:ascii="Arial" w:hAnsi="Arial" w:cs="Arial"/>
                          <w:sz w:val="16"/>
                          <w:szCs w:val="16"/>
                          <w:vertAlign w:val="subscript"/>
                          <w:lang w:val="es-MX"/>
                        </w:rPr>
                        <w:t>f</w:t>
                      </w:r>
                      <w:r w:rsidRPr="00026D67">
                        <w:rPr>
                          <w:rFonts w:ascii="Arial" w:hAnsi="Arial" w:cs="Arial"/>
                          <w:sz w:val="16"/>
                          <w:szCs w:val="16"/>
                          <w:lang w:val="es-MX"/>
                        </w:rPr>
                        <w:t>: kilogramos fuerza; reps: repeticiones; seg: segundos; m:</w:t>
                      </w:r>
                      <w:r>
                        <w:rPr>
                          <w:rFonts w:ascii="Arial" w:hAnsi="Arial" w:cs="Arial"/>
                          <w:sz w:val="16"/>
                          <w:szCs w:val="16"/>
                          <w:lang w:val="es-MX"/>
                        </w:rPr>
                        <w:t xml:space="preserve"> </w:t>
                      </w:r>
                      <w:r w:rsidRPr="00026D67">
                        <w:rPr>
                          <w:rFonts w:ascii="Arial" w:hAnsi="Arial" w:cs="Arial"/>
                          <w:sz w:val="16"/>
                          <w:szCs w:val="16"/>
                          <w:lang w:val="es-MX"/>
                        </w:rPr>
                        <w:t>metros. Se realizaron pruebas de T de student pareadas para el análisis pre vs. post intervención (p</w:t>
                      </w:r>
                      <w:r w:rsidRPr="00026D67">
                        <w:rPr>
                          <w:rFonts w:ascii="Arial" w:hAnsi="Arial" w:cs="Arial"/>
                          <w:sz w:val="16"/>
                          <w:szCs w:val="16"/>
                          <w:vertAlign w:val="superscript"/>
                          <w:lang w:val="es-MX"/>
                        </w:rPr>
                        <w:t>a</w:t>
                      </w:r>
                      <w:r w:rsidRPr="00026D67">
                        <w:rPr>
                          <w:rFonts w:ascii="Arial" w:hAnsi="Arial" w:cs="Arial"/>
                          <w:sz w:val="16"/>
                          <w:szCs w:val="16"/>
                          <w:lang w:val="es-MX"/>
                        </w:rPr>
                        <w:t>) y ANOVA para comparación entre grupos (p</w:t>
                      </w:r>
                      <w:r w:rsidRPr="00026D67">
                        <w:rPr>
                          <w:rFonts w:ascii="Arial" w:hAnsi="Arial" w:cs="Arial"/>
                          <w:sz w:val="16"/>
                          <w:szCs w:val="16"/>
                          <w:vertAlign w:val="superscript"/>
                          <w:lang w:val="es-MX"/>
                        </w:rPr>
                        <w:t>b</w:t>
                      </w:r>
                      <w:r w:rsidRPr="00026D67">
                        <w:rPr>
                          <w:rFonts w:ascii="Arial" w:hAnsi="Arial" w:cs="Arial"/>
                          <w:sz w:val="16"/>
                          <w:szCs w:val="16"/>
                          <w:lang w:val="es-MX"/>
                        </w:rPr>
                        <w:t>). Se considero como estadísticamente significativo un valor de p&lt;0.05.</w:t>
                      </w:r>
                    </w:p>
                  </w:txbxContent>
                </v:textbox>
                <w10:wrap type="square"/>
              </v:shape>
            </w:pict>
          </mc:Fallback>
        </mc:AlternateContent>
      </w:r>
    </w:p>
    <w:p w14:paraId="3C4E1269" w14:textId="77777777" w:rsidR="00924644" w:rsidRDefault="00924644" w:rsidP="00924644">
      <w:pPr>
        <w:keepNext/>
        <w:spacing w:line="360" w:lineRule="auto"/>
        <w:jc w:val="both"/>
      </w:pPr>
      <w:r>
        <w:rPr>
          <w:rFonts w:ascii="Arial" w:hAnsi="Arial" w:cs="Arial"/>
          <w:noProof/>
          <w:lang w:val="es-MX"/>
        </w:rPr>
        <w:lastRenderedPageBreak/>
        <w:drawing>
          <wp:inline distT="0" distB="0" distL="0" distR="0" wp14:anchorId="36324BAF" wp14:editId="051618B6">
            <wp:extent cx="5943600" cy="2806065"/>
            <wp:effectExtent l="0" t="0" r="0" b="0"/>
            <wp:docPr id="2046179476" name="Picture 2" descr="A graph of 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79476" name="Picture 2" descr="A graph of a graph with a li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06065"/>
                    </a:xfrm>
                    <a:prstGeom prst="rect">
                      <a:avLst/>
                    </a:prstGeom>
                  </pic:spPr>
                </pic:pic>
              </a:graphicData>
            </a:graphic>
          </wp:inline>
        </w:drawing>
      </w:r>
    </w:p>
    <w:p w14:paraId="5342EA35" w14:textId="4DA54ECC" w:rsidR="008F63E3" w:rsidRPr="00924644" w:rsidRDefault="00924644" w:rsidP="00924644">
      <w:pPr>
        <w:pStyle w:val="Caption"/>
        <w:jc w:val="both"/>
        <w:rPr>
          <w:rFonts w:ascii="Arial" w:hAnsi="Arial" w:cs="Arial"/>
          <w:b/>
          <w:bCs/>
          <w:i w:val="0"/>
          <w:iCs w:val="0"/>
          <w:sz w:val="24"/>
          <w:szCs w:val="24"/>
        </w:rPr>
      </w:pPr>
      <w:r w:rsidRPr="00C92D74">
        <w:rPr>
          <w:rFonts w:ascii="Arial" w:hAnsi="Arial" w:cs="Arial"/>
          <w:b/>
          <w:bCs/>
          <w:i w:val="0"/>
          <w:iCs w:val="0"/>
          <w:sz w:val="20"/>
          <w:szCs w:val="20"/>
        </w:rPr>
        <w:t xml:space="preserve">Figura </w:t>
      </w:r>
      <w:r w:rsidRPr="00C92D74">
        <w:rPr>
          <w:rFonts w:ascii="Arial" w:hAnsi="Arial" w:cs="Arial"/>
          <w:b/>
          <w:bCs/>
          <w:i w:val="0"/>
          <w:iCs w:val="0"/>
          <w:sz w:val="20"/>
          <w:szCs w:val="20"/>
        </w:rPr>
        <w:fldChar w:fldCharType="begin"/>
      </w:r>
      <w:r w:rsidRPr="00C92D74">
        <w:rPr>
          <w:rFonts w:ascii="Arial" w:hAnsi="Arial" w:cs="Arial"/>
          <w:b/>
          <w:bCs/>
          <w:i w:val="0"/>
          <w:iCs w:val="0"/>
          <w:sz w:val="20"/>
          <w:szCs w:val="20"/>
        </w:rPr>
        <w:instrText xml:space="preserve"> SEQ Figura \* ARABIC </w:instrText>
      </w:r>
      <w:r w:rsidRPr="00C92D74">
        <w:rPr>
          <w:rFonts w:ascii="Arial" w:hAnsi="Arial" w:cs="Arial"/>
          <w:b/>
          <w:bCs/>
          <w:i w:val="0"/>
          <w:iCs w:val="0"/>
          <w:sz w:val="20"/>
          <w:szCs w:val="20"/>
        </w:rPr>
        <w:fldChar w:fldCharType="separate"/>
      </w:r>
      <w:r w:rsidR="00750DB6" w:rsidRPr="00C92D74">
        <w:rPr>
          <w:rFonts w:ascii="Arial" w:hAnsi="Arial" w:cs="Arial"/>
          <w:b/>
          <w:bCs/>
          <w:i w:val="0"/>
          <w:iCs w:val="0"/>
          <w:noProof/>
          <w:sz w:val="20"/>
          <w:szCs w:val="20"/>
        </w:rPr>
        <w:t>1</w:t>
      </w:r>
      <w:r w:rsidRPr="00C92D74">
        <w:rPr>
          <w:rFonts w:ascii="Arial" w:hAnsi="Arial" w:cs="Arial"/>
          <w:b/>
          <w:bCs/>
          <w:i w:val="0"/>
          <w:iCs w:val="0"/>
          <w:sz w:val="20"/>
          <w:szCs w:val="20"/>
        </w:rPr>
        <w:fldChar w:fldCharType="end"/>
      </w:r>
      <w:r w:rsidRPr="00C92D74">
        <w:rPr>
          <w:rFonts w:ascii="Arial" w:hAnsi="Arial" w:cs="Arial"/>
          <w:i w:val="0"/>
          <w:iCs w:val="0"/>
          <w:sz w:val="20"/>
          <w:szCs w:val="20"/>
        </w:rPr>
        <w:t xml:space="preserve">. </w:t>
      </w:r>
      <w:r w:rsidR="00692A0D" w:rsidRPr="00C92D74">
        <w:rPr>
          <w:rFonts w:ascii="Arial" w:hAnsi="Arial" w:cs="Arial"/>
          <w:i w:val="0"/>
          <w:iCs w:val="0"/>
          <w:color w:val="auto"/>
          <w:sz w:val="20"/>
          <w:szCs w:val="20"/>
        </w:rPr>
        <w:t>Diagrama de bosque con razones de momios (RM) e intervalos de confianza del 95% (IC 95%) para recaída, de acuerdo con el nivel de desempeño físico clasificado por grupo de estudio</w:t>
      </w:r>
      <w:r w:rsidR="00692A0D">
        <w:rPr>
          <w:rFonts w:ascii="Arial" w:hAnsi="Arial" w:cs="Arial"/>
          <w:i w:val="0"/>
          <w:iCs w:val="0"/>
          <w:color w:val="auto"/>
          <w:sz w:val="24"/>
          <w:szCs w:val="24"/>
        </w:rPr>
        <w:t>.</w:t>
      </w:r>
    </w:p>
    <w:p w14:paraId="19A4CCE8" w14:textId="77777777" w:rsidR="00F14A76" w:rsidRDefault="00F14A76" w:rsidP="00F14A76">
      <w:pPr>
        <w:keepNext/>
        <w:spacing w:line="360" w:lineRule="auto"/>
        <w:jc w:val="both"/>
      </w:pPr>
      <w:r>
        <w:rPr>
          <w:rFonts w:ascii="Arial" w:hAnsi="Arial" w:cs="Arial"/>
          <w:noProof/>
          <w:lang w:val="es-MX"/>
        </w:rPr>
        <w:drawing>
          <wp:inline distT="0" distB="0" distL="0" distR="0" wp14:anchorId="658238D9" wp14:editId="38EF3E1C">
            <wp:extent cx="5943600" cy="2809240"/>
            <wp:effectExtent l="0" t="0" r="0" b="0"/>
            <wp:docPr id="1404966082" name="Picture 3"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66082" name="Picture 3" descr="A graph of a graph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09240"/>
                    </a:xfrm>
                    <a:prstGeom prst="rect">
                      <a:avLst/>
                    </a:prstGeom>
                  </pic:spPr>
                </pic:pic>
              </a:graphicData>
            </a:graphic>
          </wp:inline>
        </w:drawing>
      </w:r>
    </w:p>
    <w:p w14:paraId="44FA1D15" w14:textId="002A514D" w:rsidR="00692A0D" w:rsidRPr="00C92D74" w:rsidRDefault="00F14A76" w:rsidP="00EF0203">
      <w:pPr>
        <w:pStyle w:val="Caption"/>
        <w:jc w:val="both"/>
        <w:rPr>
          <w:rFonts w:ascii="Arial" w:hAnsi="Arial" w:cs="Arial"/>
          <w:b/>
          <w:bCs/>
          <w:i w:val="0"/>
          <w:iCs w:val="0"/>
          <w:sz w:val="20"/>
          <w:szCs w:val="20"/>
        </w:rPr>
      </w:pPr>
      <w:r w:rsidRPr="00C92D74">
        <w:rPr>
          <w:rFonts w:ascii="Arial" w:hAnsi="Arial" w:cs="Arial"/>
          <w:b/>
          <w:bCs/>
          <w:i w:val="0"/>
          <w:iCs w:val="0"/>
          <w:sz w:val="20"/>
          <w:szCs w:val="20"/>
        </w:rPr>
        <w:t xml:space="preserve">Figura </w:t>
      </w:r>
      <w:r w:rsidRPr="00C92D74">
        <w:rPr>
          <w:rFonts w:ascii="Arial" w:hAnsi="Arial" w:cs="Arial"/>
          <w:b/>
          <w:bCs/>
          <w:i w:val="0"/>
          <w:iCs w:val="0"/>
          <w:sz w:val="20"/>
          <w:szCs w:val="20"/>
        </w:rPr>
        <w:fldChar w:fldCharType="begin"/>
      </w:r>
      <w:r w:rsidRPr="00C92D74">
        <w:rPr>
          <w:rFonts w:ascii="Arial" w:hAnsi="Arial" w:cs="Arial"/>
          <w:b/>
          <w:bCs/>
          <w:i w:val="0"/>
          <w:iCs w:val="0"/>
          <w:sz w:val="20"/>
          <w:szCs w:val="20"/>
        </w:rPr>
        <w:instrText xml:space="preserve"> SEQ Figura \* ARABIC </w:instrText>
      </w:r>
      <w:r w:rsidRPr="00C92D74">
        <w:rPr>
          <w:rFonts w:ascii="Arial" w:hAnsi="Arial" w:cs="Arial"/>
          <w:b/>
          <w:bCs/>
          <w:i w:val="0"/>
          <w:iCs w:val="0"/>
          <w:sz w:val="20"/>
          <w:szCs w:val="20"/>
        </w:rPr>
        <w:fldChar w:fldCharType="separate"/>
      </w:r>
      <w:r w:rsidR="00750DB6" w:rsidRPr="00C92D74">
        <w:rPr>
          <w:rFonts w:ascii="Arial" w:hAnsi="Arial" w:cs="Arial"/>
          <w:b/>
          <w:bCs/>
          <w:i w:val="0"/>
          <w:iCs w:val="0"/>
          <w:noProof/>
          <w:sz w:val="20"/>
          <w:szCs w:val="20"/>
        </w:rPr>
        <w:t>2</w:t>
      </w:r>
      <w:r w:rsidRPr="00C92D74">
        <w:rPr>
          <w:rFonts w:ascii="Arial" w:hAnsi="Arial" w:cs="Arial"/>
          <w:b/>
          <w:bCs/>
          <w:i w:val="0"/>
          <w:iCs w:val="0"/>
          <w:sz w:val="20"/>
          <w:szCs w:val="20"/>
        </w:rPr>
        <w:fldChar w:fldCharType="end"/>
      </w:r>
      <w:r w:rsidRPr="00C92D74">
        <w:rPr>
          <w:rFonts w:ascii="Arial" w:hAnsi="Arial" w:cs="Arial"/>
          <w:b/>
          <w:bCs/>
          <w:i w:val="0"/>
          <w:iCs w:val="0"/>
          <w:sz w:val="20"/>
          <w:szCs w:val="20"/>
        </w:rPr>
        <w:t xml:space="preserve">. </w:t>
      </w:r>
      <w:r w:rsidR="00692A0D" w:rsidRPr="00C92D74">
        <w:rPr>
          <w:rFonts w:ascii="Arial" w:hAnsi="Arial" w:cs="Arial"/>
          <w:i w:val="0"/>
          <w:iCs w:val="0"/>
          <w:color w:val="auto"/>
          <w:sz w:val="20"/>
          <w:szCs w:val="20"/>
        </w:rPr>
        <w:t>Diagrama de bosque con razones de momios (OR) e intervalos de confianza del 95% (IC 95%) para recaída, de acuerdo con el nivel de desempeño físico clasificado por no ejercicio vs rutina de ejercicio.</w:t>
      </w:r>
    </w:p>
    <w:p w14:paraId="115370E5" w14:textId="298095A8" w:rsidR="00692A0D" w:rsidRDefault="00692A0D" w:rsidP="00D9312C">
      <w:pPr>
        <w:spacing w:line="360" w:lineRule="auto"/>
        <w:jc w:val="both"/>
        <w:rPr>
          <w:rFonts w:ascii="Arial" w:hAnsi="Arial" w:cs="Arial"/>
          <w:lang w:val="es-MX"/>
        </w:rPr>
      </w:pPr>
      <w:r w:rsidRPr="00692A0D">
        <w:rPr>
          <w:rFonts w:ascii="Arial" w:hAnsi="Arial" w:cs="Arial"/>
          <w:lang w:val="es-MX"/>
        </w:rPr>
        <w:t>Aunque ninguna de las asociaciones fue estadísticamente significativa, l</w:t>
      </w:r>
      <w:r>
        <w:rPr>
          <w:rFonts w:ascii="Arial" w:hAnsi="Arial" w:cs="Arial"/>
          <w:lang w:val="es-MX"/>
        </w:rPr>
        <w:t>as RM</w:t>
      </w:r>
      <w:r w:rsidRPr="00692A0D">
        <w:rPr>
          <w:rFonts w:ascii="Arial" w:hAnsi="Arial" w:cs="Arial"/>
          <w:lang w:val="es-MX"/>
        </w:rPr>
        <w:t xml:space="preserve"> indican una tendencia hacia un menor riesgo de recaída en los pacientes con mejor desempeño físico, especialmente en el grupo GEC</w:t>
      </w:r>
      <w:r>
        <w:rPr>
          <w:rFonts w:ascii="Arial" w:hAnsi="Arial" w:cs="Arial"/>
          <w:lang w:val="es-MX"/>
        </w:rPr>
        <w:t xml:space="preserve"> y para los pacientes que realizaron una rutina de ejercicio.</w:t>
      </w:r>
    </w:p>
    <w:p w14:paraId="6DBFD557" w14:textId="0FE6179A" w:rsidR="00F14A76" w:rsidRDefault="00731F82" w:rsidP="00D9312C">
      <w:pPr>
        <w:spacing w:line="360" w:lineRule="auto"/>
        <w:jc w:val="both"/>
        <w:rPr>
          <w:rFonts w:ascii="Arial" w:hAnsi="Arial" w:cs="Arial"/>
          <w:b/>
          <w:bCs/>
          <w:lang w:val="es-MX"/>
        </w:rPr>
      </w:pPr>
      <w:r>
        <w:rPr>
          <w:rFonts w:ascii="Arial" w:hAnsi="Arial" w:cs="Arial"/>
          <w:noProof/>
          <w:lang w:val="es-MX"/>
        </w:rPr>
        <w:lastRenderedPageBreak/>
        <w:drawing>
          <wp:anchor distT="0" distB="0" distL="114300" distR="114300" simplePos="0" relativeHeight="251665408" behindDoc="0" locked="0" layoutInCell="1" allowOverlap="1" wp14:anchorId="319C04ED" wp14:editId="092439F4">
            <wp:simplePos x="0" y="0"/>
            <wp:positionH relativeFrom="column">
              <wp:posOffset>1159933</wp:posOffset>
            </wp:positionH>
            <wp:positionV relativeFrom="paragraph">
              <wp:posOffset>1073792</wp:posOffset>
            </wp:positionV>
            <wp:extent cx="3674534" cy="6146355"/>
            <wp:effectExtent l="0" t="0" r="2540" b="6985"/>
            <wp:wrapNone/>
            <wp:docPr id="646940586" name="Picture 4"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40586" name="Picture 4" descr="A diagram of a number of numb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8464" cy="6152929"/>
                    </a:xfrm>
                    <a:prstGeom prst="rect">
                      <a:avLst/>
                    </a:prstGeom>
                  </pic:spPr>
                </pic:pic>
              </a:graphicData>
            </a:graphic>
            <wp14:sizeRelH relativeFrom="margin">
              <wp14:pctWidth>0</wp14:pctWidth>
            </wp14:sizeRelH>
            <wp14:sizeRelV relativeFrom="margin">
              <wp14:pctHeight>0</wp14:pctHeight>
            </wp14:sizeRelV>
          </wp:anchor>
        </w:drawing>
      </w:r>
      <w:r w:rsidR="00FC368C">
        <w:rPr>
          <w:rFonts w:ascii="Arial" w:hAnsi="Arial" w:cs="Arial"/>
          <w:lang w:val="es-MX"/>
        </w:rPr>
        <w:t>Por último, como análisis complementario, se decidió realizar un análisis de Log-Rank a partir de una prueba de Mantel-Cox y presentar los resultados en un diagrama de Kaplan-Meier, en donde se present</w:t>
      </w:r>
      <w:r w:rsidR="00586FCB">
        <w:rPr>
          <w:rFonts w:ascii="Arial" w:hAnsi="Arial" w:cs="Arial"/>
          <w:lang w:val="es-MX"/>
        </w:rPr>
        <w:t>ó</w:t>
      </w:r>
      <w:r w:rsidR="00FC368C">
        <w:rPr>
          <w:rFonts w:ascii="Arial" w:hAnsi="Arial" w:cs="Arial"/>
          <w:lang w:val="es-MX"/>
        </w:rPr>
        <w:t xml:space="preserve"> el riesgo de presentar recaída a partir del desempeño físico clasificado por el grupo de estudio.</w:t>
      </w:r>
      <w:r w:rsidR="00CD7FB8">
        <w:rPr>
          <w:rFonts w:ascii="Arial" w:hAnsi="Arial" w:cs="Arial"/>
          <w:lang w:val="es-MX"/>
        </w:rPr>
        <w:t xml:space="preserve"> </w:t>
      </w:r>
      <w:r w:rsidR="00CD7FB8" w:rsidRPr="00CD7FB8">
        <w:rPr>
          <w:rFonts w:ascii="Arial" w:hAnsi="Arial" w:cs="Arial"/>
          <w:b/>
          <w:bCs/>
          <w:lang w:val="es-MX"/>
        </w:rPr>
        <w:t>(Figura 3)</w:t>
      </w:r>
    </w:p>
    <w:p w14:paraId="587D99D9" w14:textId="2607AF8A" w:rsidR="00CD7FB8" w:rsidRDefault="00CD7FB8" w:rsidP="00D9312C">
      <w:pPr>
        <w:spacing w:line="360" w:lineRule="auto"/>
        <w:jc w:val="both"/>
        <w:rPr>
          <w:rFonts w:ascii="Arial" w:hAnsi="Arial" w:cs="Arial"/>
          <w:lang w:val="es-MX"/>
        </w:rPr>
      </w:pPr>
    </w:p>
    <w:p w14:paraId="0FD01472" w14:textId="064BF1C2" w:rsidR="00CD7FB8" w:rsidRPr="0097780B" w:rsidRDefault="00CD7FB8" w:rsidP="00D9312C">
      <w:pPr>
        <w:spacing w:line="360" w:lineRule="auto"/>
        <w:jc w:val="both"/>
        <w:rPr>
          <w:rFonts w:ascii="Arial" w:hAnsi="Arial" w:cs="Arial"/>
          <w:lang w:val="es-MX"/>
        </w:rPr>
      </w:pPr>
    </w:p>
    <w:p w14:paraId="30885375" w14:textId="77777777" w:rsidR="008F63E3" w:rsidRPr="0097780B" w:rsidRDefault="008F63E3" w:rsidP="00D9312C">
      <w:pPr>
        <w:spacing w:line="360" w:lineRule="auto"/>
        <w:jc w:val="both"/>
        <w:rPr>
          <w:rFonts w:ascii="Arial" w:hAnsi="Arial" w:cs="Arial"/>
          <w:lang w:val="es-MX"/>
        </w:rPr>
      </w:pPr>
    </w:p>
    <w:p w14:paraId="225F24E8" w14:textId="77777777" w:rsidR="008F63E3" w:rsidRPr="0097780B" w:rsidRDefault="008F63E3" w:rsidP="00D9312C">
      <w:pPr>
        <w:spacing w:line="360" w:lineRule="auto"/>
        <w:jc w:val="both"/>
        <w:rPr>
          <w:rFonts w:ascii="Arial" w:hAnsi="Arial" w:cs="Arial"/>
          <w:lang w:val="es-MX"/>
        </w:rPr>
      </w:pPr>
    </w:p>
    <w:p w14:paraId="1E115AE0" w14:textId="77777777" w:rsidR="008F63E3" w:rsidRPr="0097780B" w:rsidRDefault="008F63E3" w:rsidP="00D9312C">
      <w:pPr>
        <w:spacing w:line="360" w:lineRule="auto"/>
        <w:jc w:val="both"/>
        <w:rPr>
          <w:rFonts w:ascii="Arial" w:hAnsi="Arial" w:cs="Arial"/>
          <w:lang w:val="es-MX"/>
        </w:rPr>
      </w:pPr>
    </w:p>
    <w:p w14:paraId="6ACC935D" w14:textId="77777777" w:rsidR="008F63E3" w:rsidRPr="0097780B" w:rsidRDefault="008F63E3" w:rsidP="00D9312C">
      <w:pPr>
        <w:spacing w:line="360" w:lineRule="auto"/>
        <w:jc w:val="both"/>
        <w:rPr>
          <w:rFonts w:ascii="Arial" w:hAnsi="Arial" w:cs="Arial"/>
          <w:lang w:val="es-MX"/>
        </w:rPr>
      </w:pPr>
    </w:p>
    <w:p w14:paraId="023789B3" w14:textId="77777777" w:rsidR="008F63E3" w:rsidRPr="0097780B" w:rsidRDefault="008F63E3" w:rsidP="00D9312C">
      <w:pPr>
        <w:spacing w:line="360" w:lineRule="auto"/>
        <w:jc w:val="both"/>
        <w:rPr>
          <w:rFonts w:ascii="Arial" w:hAnsi="Arial" w:cs="Arial"/>
          <w:lang w:val="es-MX"/>
        </w:rPr>
      </w:pPr>
    </w:p>
    <w:p w14:paraId="4831274B" w14:textId="77777777" w:rsidR="008F63E3" w:rsidRPr="0097780B" w:rsidRDefault="008F63E3" w:rsidP="00D9312C">
      <w:pPr>
        <w:spacing w:line="360" w:lineRule="auto"/>
        <w:jc w:val="both"/>
        <w:rPr>
          <w:rFonts w:ascii="Arial" w:hAnsi="Arial" w:cs="Arial"/>
          <w:lang w:val="es-MX"/>
        </w:rPr>
      </w:pPr>
    </w:p>
    <w:p w14:paraId="1575307F" w14:textId="77777777" w:rsidR="008F63E3" w:rsidRPr="0097780B" w:rsidRDefault="008F63E3" w:rsidP="00D9312C">
      <w:pPr>
        <w:spacing w:line="360" w:lineRule="auto"/>
        <w:jc w:val="both"/>
        <w:rPr>
          <w:rFonts w:ascii="Arial" w:hAnsi="Arial" w:cs="Arial"/>
          <w:lang w:val="es-MX"/>
        </w:rPr>
      </w:pPr>
    </w:p>
    <w:p w14:paraId="5C668F19" w14:textId="77777777" w:rsidR="008F63E3" w:rsidRPr="0097780B" w:rsidRDefault="008F63E3" w:rsidP="00D9312C">
      <w:pPr>
        <w:spacing w:line="360" w:lineRule="auto"/>
        <w:jc w:val="both"/>
        <w:rPr>
          <w:rFonts w:ascii="Arial" w:hAnsi="Arial" w:cs="Arial"/>
          <w:lang w:val="es-MX"/>
        </w:rPr>
      </w:pPr>
    </w:p>
    <w:p w14:paraId="5D5C1D55" w14:textId="77777777" w:rsidR="008F63E3" w:rsidRDefault="008F63E3" w:rsidP="00D9312C">
      <w:pPr>
        <w:spacing w:line="360" w:lineRule="auto"/>
        <w:jc w:val="both"/>
        <w:rPr>
          <w:rFonts w:ascii="Arial" w:hAnsi="Arial" w:cs="Arial"/>
          <w:lang w:val="es-MX"/>
        </w:rPr>
      </w:pPr>
    </w:p>
    <w:p w14:paraId="2AA9AB86" w14:textId="77777777" w:rsidR="00750DB6" w:rsidRDefault="00750DB6" w:rsidP="00D9312C">
      <w:pPr>
        <w:spacing w:line="360" w:lineRule="auto"/>
        <w:jc w:val="both"/>
        <w:rPr>
          <w:rFonts w:ascii="Arial" w:hAnsi="Arial" w:cs="Arial"/>
          <w:lang w:val="es-MX"/>
        </w:rPr>
      </w:pPr>
    </w:p>
    <w:p w14:paraId="22CA2BD4" w14:textId="77777777" w:rsidR="00750DB6" w:rsidRDefault="00750DB6" w:rsidP="00D9312C">
      <w:pPr>
        <w:spacing w:line="360" w:lineRule="auto"/>
        <w:jc w:val="both"/>
        <w:rPr>
          <w:rFonts w:ascii="Arial" w:hAnsi="Arial" w:cs="Arial"/>
          <w:lang w:val="es-MX"/>
        </w:rPr>
      </w:pPr>
    </w:p>
    <w:p w14:paraId="41014FDA" w14:textId="77777777" w:rsidR="00750DB6" w:rsidRDefault="00750DB6" w:rsidP="00D9312C">
      <w:pPr>
        <w:spacing w:line="360" w:lineRule="auto"/>
        <w:jc w:val="both"/>
        <w:rPr>
          <w:rFonts w:ascii="Arial" w:hAnsi="Arial" w:cs="Arial"/>
          <w:lang w:val="es-MX"/>
        </w:rPr>
      </w:pPr>
    </w:p>
    <w:p w14:paraId="2EA9C334" w14:textId="77777777" w:rsidR="00750DB6" w:rsidRDefault="00750DB6" w:rsidP="00D9312C">
      <w:pPr>
        <w:spacing w:line="360" w:lineRule="auto"/>
        <w:jc w:val="both"/>
        <w:rPr>
          <w:rFonts w:ascii="Arial" w:hAnsi="Arial" w:cs="Arial"/>
          <w:lang w:val="es-MX"/>
        </w:rPr>
      </w:pPr>
    </w:p>
    <w:p w14:paraId="72ACBB5E" w14:textId="77777777" w:rsidR="00750DB6" w:rsidRDefault="00750DB6" w:rsidP="00D9312C">
      <w:pPr>
        <w:spacing w:line="360" w:lineRule="auto"/>
        <w:jc w:val="both"/>
        <w:rPr>
          <w:rFonts w:ascii="Arial" w:hAnsi="Arial" w:cs="Arial"/>
          <w:lang w:val="es-MX"/>
        </w:rPr>
      </w:pPr>
    </w:p>
    <w:p w14:paraId="0CD4EB9A" w14:textId="566369F3" w:rsidR="00750DB6" w:rsidRDefault="00586FCB" w:rsidP="00D9312C">
      <w:pPr>
        <w:spacing w:line="360" w:lineRule="auto"/>
        <w:jc w:val="both"/>
        <w:rPr>
          <w:rFonts w:ascii="Arial" w:hAnsi="Arial" w:cs="Arial"/>
          <w:lang w:val="es-MX"/>
        </w:rPr>
      </w:pPr>
      <w:r>
        <w:rPr>
          <w:noProof/>
        </w:rPr>
        <mc:AlternateContent>
          <mc:Choice Requires="wps">
            <w:drawing>
              <wp:anchor distT="0" distB="0" distL="114300" distR="114300" simplePos="0" relativeHeight="251662336" behindDoc="0" locked="0" layoutInCell="1" allowOverlap="1" wp14:anchorId="53D2C293" wp14:editId="3DEF478E">
                <wp:simplePos x="0" y="0"/>
                <wp:positionH relativeFrom="column">
                  <wp:posOffset>925830</wp:posOffset>
                </wp:positionH>
                <wp:positionV relativeFrom="paragraph">
                  <wp:posOffset>297815</wp:posOffset>
                </wp:positionV>
                <wp:extent cx="4549140" cy="635"/>
                <wp:effectExtent l="0" t="0" r="3810" b="0"/>
                <wp:wrapNone/>
                <wp:docPr id="2077423077" name="Text Box 1"/>
                <wp:cNvGraphicFramePr/>
                <a:graphic xmlns:a="http://schemas.openxmlformats.org/drawingml/2006/main">
                  <a:graphicData uri="http://schemas.microsoft.com/office/word/2010/wordprocessingShape">
                    <wps:wsp>
                      <wps:cNvSpPr txBox="1"/>
                      <wps:spPr>
                        <a:xfrm>
                          <a:off x="0" y="0"/>
                          <a:ext cx="4549140" cy="635"/>
                        </a:xfrm>
                        <a:prstGeom prst="rect">
                          <a:avLst/>
                        </a:prstGeom>
                        <a:solidFill>
                          <a:prstClr val="white"/>
                        </a:solidFill>
                        <a:ln>
                          <a:noFill/>
                        </a:ln>
                      </wps:spPr>
                      <wps:txbx>
                        <w:txbxContent>
                          <w:p w14:paraId="295B8DA5" w14:textId="297E4E2D" w:rsidR="00750DB6" w:rsidRPr="00586FCB" w:rsidRDefault="00750DB6" w:rsidP="00750DB6">
                            <w:pPr>
                              <w:pStyle w:val="Caption"/>
                              <w:rPr>
                                <w:rFonts w:ascii="Arial" w:hAnsi="Arial" w:cs="Arial"/>
                                <w:b/>
                                <w:bCs/>
                                <w:i w:val="0"/>
                                <w:iCs w:val="0"/>
                                <w:noProof/>
                                <w:color w:val="auto"/>
                                <w:sz w:val="20"/>
                                <w:szCs w:val="20"/>
                              </w:rPr>
                            </w:pPr>
                            <w:r w:rsidRPr="00586FCB">
                              <w:rPr>
                                <w:rFonts w:ascii="Arial" w:hAnsi="Arial" w:cs="Arial"/>
                                <w:b/>
                                <w:bCs/>
                                <w:i w:val="0"/>
                                <w:iCs w:val="0"/>
                                <w:color w:val="auto"/>
                                <w:sz w:val="20"/>
                                <w:szCs w:val="20"/>
                              </w:rPr>
                              <w:t xml:space="preserve">Figura </w:t>
                            </w:r>
                            <w:r w:rsidRPr="00586FCB">
                              <w:rPr>
                                <w:rFonts w:ascii="Arial" w:hAnsi="Arial" w:cs="Arial"/>
                                <w:b/>
                                <w:bCs/>
                                <w:i w:val="0"/>
                                <w:iCs w:val="0"/>
                                <w:color w:val="auto"/>
                                <w:sz w:val="20"/>
                                <w:szCs w:val="20"/>
                              </w:rPr>
                              <w:fldChar w:fldCharType="begin"/>
                            </w:r>
                            <w:r w:rsidRPr="00586FCB">
                              <w:rPr>
                                <w:rFonts w:ascii="Arial" w:hAnsi="Arial" w:cs="Arial"/>
                                <w:b/>
                                <w:bCs/>
                                <w:i w:val="0"/>
                                <w:iCs w:val="0"/>
                                <w:color w:val="auto"/>
                                <w:sz w:val="20"/>
                                <w:szCs w:val="20"/>
                              </w:rPr>
                              <w:instrText xml:space="preserve"> SEQ Figura \* ARABIC </w:instrText>
                            </w:r>
                            <w:r w:rsidRPr="00586FCB">
                              <w:rPr>
                                <w:rFonts w:ascii="Arial" w:hAnsi="Arial" w:cs="Arial"/>
                                <w:b/>
                                <w:bCs/>
                                <w:i w:val="0"/>
                                <w:iCs w:val="0"/>
                                <w:color w:val="auto"/>
                                <w:sz w:val="20"/>
                                <w:szCs w:val="20"/>
                              </w:rPr>
                              <w:fldChar w:fldCharType="separate"/>
                            </w:r>
                            <w:r w:rsidRPr="00586FCB">
                              <w:rPr>
                                <w:rFonts w:ascii="Arial" w:hAnsi="Arial" w:cs="Arial"/>
                                <w:b/>
                                <w:bCs/>
                                <w:i w:val="0"/>
                                <w:iCs w:val="0"/>
                                <w:noProof/>
                                <w:color w:val="auto"/>
                                <w:sz w:val="20"/>
                                <w:szCs w:val="20"/>
                              </w:rPr>
                              <w:t>3</w:t>
                            </w:r>
                            <w:r w:rsidRPr="00586FCB">
                              <w:rPr>
                                <w:rFonts w:ascii="Arial" w:hAnsi="Arial" w:cs="Arial"/>
                                <w:b/>
                                <w:bCs/>
                                <w:i w:val="0"/>
                                <w:iCs w:val="0"/>
                                <w:color w:val="auto"/>
                                <w:sz w:val="20"/>
                                <w:szCs w:val="20"/>
                              </w:rPr>
                              <w:fldChar w:fldCharType="end"/>
                            </w:r>
                            <w:r w:rsidRPr="00586FCB">
                              <w:rPr>
                                <w:rFonts w:ascii="Arial" w:hAnsi="Arial" w:cs="Arial"/>
                                <w:b/>
                                <w:bCs/>
                                <w:i w:val="0"/>
                                <w:iCs w:val="0"/>
                                <w:color w:val="auto"/>
                                <w:sz w:val="20"/>
                                <w:szCs w:val="20"/>
                              </w:rPr>
                              <w:t xml:space="preserve">. </w:t>
                            </w:r>
                            <w:r w:rsidRPr="00586FCB">
                              <w:rPr>
                                <w:rFonts w:ascii="Arial" w:hAnsi="Arial" w:cs="Arial"/>
                                <w:i w:val="0"/>
                                <w:iCs w:val="0"/>
                                <w:color w:val="auto"/>
                                <w:sz w:val="20"/>
                                <w:szCs w:val="20"/>
                              </w:rPr>
                              <w:t>Diagrama de Kaplan Meier de</w:t>
                            </w:r>
                            <w:r w:rsidR="001B5ED8" w:rsidRPr="00586FCB">
                              <w:rPr>
                                <w:rFonts w:ascii="Arial" w:hAnsi="Arial" w:cs="Arial"/>
                                <w:i w:val="0"/>
                                <w:iCs w:val="0"/>
                                <w:color w:val="auto"/>
                                <w:sz w:val="20"/>
                                <w:szCs w:val="20"/>
                              </w:rPr>
                              <w:t xml:space="preserve"> la presencia </w:t>
                            </w:r>
                            <w:r w:rsidRPr="00586FCB">
                              <w:rPr>
                                <w:rFonts w:ascii="Arial" w:hAnsi="Arial" w:cs="Arial"/>
                                <w:i w:val="0"/>
                                <w:iCs w:val="0"/>
                                <w:color w:val="auto"/>
                                <w:sz w:val="20"/>
                                <w:szCs w:val="20"/>
                              </w:rPr>
                              <w:t>de recaída a partir del desempeño físico clasificado por grupo de estudio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D2C293" id="Text Box 1" o:spid="_x0000_s1028" type="#_x0000_t202" style="position:absolute;left:0;text-align:left;margin-left:72.9pt;margin-top:23.45pt;width:358.2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" stroked="f">
                <v:textbox style="mso-fit-shape-to-text:t" inset="0,0,0,0">
                  <w:txbxContent>
                    <w:p w14:paraId="295B8DA5" w14:textId="297E4E2D" w:rsidR="00750DB6" w:rsidRPr="00586FCB" w:rsidRDefault="00750DB6" w:rsidP="00750DB6">
                      <w:pPr>
                        <w:pStyle w:val="Caption"/>
                        <w:rPr>
                          <w:rFonts w:ascii="Arial" w:hAnsi="Arial" w:cs="Arial"/>
                          <w:b/>
                          <w:bCs/>
                          <w:i w:val="0"/>
                          <w:iCs w:val="0"/>
                          <w:noProof/>
                          <w:color w:val="auto"/>
                          <w:sz w:val="20"/>
                          <w:szCs w:val="20"/>
                        </w:rPr>
                      </w:pPr>
                      <w:r w:rsidRPr="00586FCB">
                        <w:rPr>
                          <w:rFonts w:ascii="Arial" w:hAnsi="Arial" w:cs="Arial"/>
                          <w:b/>
                          <w:bCs/>
                          <w:i w:val="0"/>
                          <w:iCs w:val="0"/>
                          <w:color w:val="auto"/>
                          <w:sz w:val="20"/>
                          <w:szCs w:val="20"/>
                        </w:rPr>
                        <w:t xml:space="preserve">Figura </w:t>
                      </w:r>
                      <w:r w:rsidRPr="00586FCB">
                        <w:rPr>
                          <w:rFonts w:ascii="Arial" w:hAnsi="Arial" w:cs="Arial"/>
                          <w:b/>
                          <w:bCs/>
                          <w:i w:val="0"/>
                          <w:iCs w:val="0"/>
                          <w:color w:val="auto"/>
                          <w:sz w:val="20"/>
                          <w:szCs w:val="20"/>
                        </w:rPr>
                        <w:fldChar w:fldCharType="begin"/>
                      </w:r>
                      <w:r w:rsidRPr="00586FCB">
                        <w:rPr>
                          <w:rFonts w:ascii="Arial" w:hAnsi="Arial" w:cs="Arial"/>
                          <w:b/>
                          <w:bCs/>
                          <w:i w:val="0"/>
                          <w:iCs w:val="0"/>
                          <w:color w:val="auto"/>
                          <w:sz w:val="20"/>
                          <w:szCs w:val="20"/>
                        </w:rPr>
                        <w:instrText xml:space="preserve"> SEQ Figura \* ARABIC </w:instrText>
                      </w:r>
                      <w:r w:rsidRPr="00586FCB">
                        <w:rPr>
                          <w:rFonts w:ascii="Arial" w:hAnsi="Arial" w:cs="Arial"/>
                          <w:b/>
                          <w:bCs/>
                          <w:i w:val="0"/>
                          <w:iCs w:val="0"/>
                          <w:color w:val="auto"/>
                          <w:sz w:val="20"/>
                          <w:szCs w:val="20"/>
                        </w:rPr>
                        <w:fldChar w:fldCharType="separate"/>
                      </w:r>
                      <w:r w:rsidRPr="00586FCB">
                        <w:rPr>
                          <w:rFonts w:ascii="Arial" w:hAnsi="Arial" w:cs="Arial"/>
                          <w:b/>
                          <w:bCs/>
                          <w:i w:val="0"/>
                          <w:iCs w:val="0"/>
                          <w:noProof/>
                          <w:color w:val="auto"/>
                          <w:sz w:val="20"/>
                          <w:szCs w:val="20"/>
                        </w:rPr>
                        <w:t>3</w:t>
                      </w:r>
                      <w:r w:rsidRPr="00586FCB">
                        <w:rPr>
                          <w:rFonts w:ascii="Arial" w:hAnsi="Arial" w:cs="Arial"/>
                          <w:b/>
                          <w:bCs/>
                          <w:i w:val="0"/>
                          <w:iCs w:val="0"/>
                          <w:color w:val="auto"/>
                          <w:sz w:val="20"/>
                          <w:szCs w:val="20"/>
                        </w:rPr>
                        <w:fldChar w:fldCharType="end"/>
                      </w:r>
                      <w:r w:rsidRPr="00586FCB">
                        <w:rPr>
                          <w:rFonts w:ascii="Arial" w:hAnsi="Arial" w:cs="Arial"/>
                          <w:b/>
                          <w:bCs/>
                          <w:i w:val="0"/>
                          <w:iCs w:val="0"/>
                          <w:color w:val="auto"/>
                          <w:sz w:val="20"/>
                          <w:szCs w:val="20"/>
                        </w:rPr>
                        <w:t xml:space="preserve">. </w:t>
                      </w:r>
                      <w:r w:rsidRPr="00586FCB">
                        <w:rPr>
                          <w:rFonts w:ascii="Arial" w:hAnsi="Arial" w:cs="Arial"/>
                          <w:i w:val="0"/>
                          <w:iCs w:val="0"/>
                          <w:color w:val="auto"/>
                          <w:sz w:val="20"/>
                          <w:szCs w:val="20"/>
                        </w:rPr>
                        <w:t>Diagrama de Kaplan Meier de</w:t>
                      </w:r>
                      <w:r w:rsidR="001B5ED8" w:rsidRPr="00586FCB">
                        <w:rPr>
                          <w:rFonts w:ascii="Arial" w:hAnsi="Arial" w:cs="Arial"/>
                          <w:i w:val="0"/>
                          <w:iCs w:val="0"/>
                          <w:color w:val="auto"/>
                          <w:sz w:val="20"/>
                          <w:szCs w:val="20"/>
                        </w:rPr>
                        <w:t xml:space="preserve"> la presencia </w:t>
                      </w:r>
                      <w:r w:rsidRPr="00586FCB">
                        <w:rPr>
                          <w:rFonts w:ascii="Arial" w:hAnsi="Arial" w:cs="Arial"/>
                          <w:i w:val="0"/>
                          <w:iCs w:val="0"/>
                          <w:color w:val="auto"/>
                          <w:sz w:val="20"/>
                          <w:szCs w:val="20"/>
                        </w:rPr>
                        <w:t>de recaída a partir del desempeño físico clasificado por grupo de estudio</w:t>
                      </w:r>
                    </w:p>
                  </w:txbxContent>
                </v:textbox>
              </v:shape>
            </w:pict>
          </mc:Fallback>
        </mc:AlternateContent>
      </w:r>
    </w:p>
    <w:p w14:paraId="61DB9D30" w14:textId="40DC16CC" w:rsidR="00750DB6" w:rsidRDefault="00750DB6" w:rsidP="00D9312C">
      <w:pPr>
        <w:spacing w:line="360" w:lineRule="auto"/>
        <w:jc w:val="both"/>
        <w:rPr>
          <w:rFonts w:ascii="Arial" w:hAnsi="Arial" w:cs="Arial"/>
          <w:lang w:val="es-MX"/>
        </w:rPr>
      </w:pPr>
    </w:p>
    <w:p w14:paraId="02809C5A" w14:textId="2CDA943C" w:rsidR="00C92D74" w:rsidRDefault="00C92D74" w:rsidP="00D9312C">
      <w:pPr>
        <w:spacing w:line="360" w:lineRule="auto"/>
        <w:jc w:val="both"/>
        <w:rPr>
          <w:rFonts w:ascii="Arial" w:hAnsi="Arial" w:cs="Arial"/>
          <w:lang w:val="es-MX"/>
        </w:rPr>
      </w:pPr>
    </w:p>
    <w:p w14:paraId="387F24D8" w14:textId="6A631DB7" w:rsidR="00750DB6" w:rsidRPr="00750DB6" w:rsidRDefault="00750DB6" w:rsidP="00D9312C">
      <w:pPr>
        <w:spacing w:line="360" w:lineRule="auto"/>
        <w:jc w:val="both"/>
        <w:rPr>
          <w:rFonts w:ascii="Arial" w:hAnsi="Arial" w:cs="Arial"/>
          <w:b/>
          <w:bCs/>
          <w:lang w:val="es-MX"/>
        </w:rPr>
      </w:pPr>
      <w:r w:rsidRPr="00750DB6">
        <w:rPr>
          <w:rFonts w:ascii="Arial" w:hAnsi="Arial" w:cs="Arial"/>
          <w:b/>
          <w:bCs/>
          <w:lang w:val="es-MX"/>
        </w:rPr>
        <w:lastRenderedPageBreak/>
        <w:t>Discusión</w:t>
      </w:r>
    </w:p>
    <w:p w14:paraId="166D8B3A"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En este estudio retrospectivo se analizaron registros clínicos de pacientes con LLA sometidos a diferentes regímenes de intervención (GC, GER y GEC) con el objetivo de evaluar la relación entre desempeño físico y recaída clínica. Los resultados mostraron mejoras estadísticamente significativas en la prueba de abdominales y sentadillas para los grupos de GER y GEC, así como en la prueba de caminata de 6 minutos en ambos grupos. Por otro lado, aunque se observó una tendencia hacia una menor frecuencia de recaídas en los pacientes con mejor desempeño físico, especialmente en el grupo de ejercicio cruzado, esta asociación no alcanzó significancia estadística.</w:t>
      </w:r>
    </w:p>
    <w:p w14:paraId="0382FDB3" w14:textId="14D3ABBE" w:rsidR="00D01EBD" w:rsidRPr="00D01EBD" w:rsidRDefault="00D01EBD" w:rsidP="00D01EBD">
      <w:pPr>
        <w:spacing w:line="360" w:lineRule="auto"/>
        <w:jc w:val="both"/>
        <w:rPr>
          <w:rFonts w:ascii="Arial" w:hAnsi="Arial" w:cs="Arial"/>
          <w:lang w:val="es-MX"/>
        </w:rPr>
      </w:pPr>
      <w:r w:rsidRPr="00D01EBD">
        <w:rPr>
          <w:rFonts w:ascii="Arial" w:hAnsi="Arial" w:cs="Arial"/>
          <w:lang w:val="es-MX"/>
        </w:rPr>
        <w:t xml:space="preserve">La interpretación de estos hallazgos sugiere que el ejercicio estructurado, aun en fases intensas de tratamiento como la inducción, puede mejorar de manera tangible la capacidad funcional de los pacientes, lo que coincide con </w:t>
      </w:r>
      <w:r w:rsidR="00662C96">
        <w:rPr>
          <w:rFonts w:ascii="Arial" w:hAnsi="Arial" w:cs="Arial"/>
          <w:lang w:val="es-MX"/>
        </w:rPr>
        <w:t xml:space="preserve">la </w:t>
      </w:r>
      <w:r w:rsidRPr="00D01EBD">
        <w:rPr>
          <w:rFonts w:ascii="Arial" w:hAnsi="Arial" w:cs="Arial"/>
          <w:lang w:val="es-MX"/>
        </w:rPr>
        <w:t>literatura previa que respalda la seguridad y eficacia de las intervenciones físicas en oncología (</w:t>
      </w:r>
      <w:proofErr w:type="spellStart"/>
      <w:r w:rsidRPr="00D01EBD">
        <w:rPr>
          <w:rFonts w:ascii="Arial" w:hAnsi="Arial" w:cs="Arial"/>
          <w:lang w:val="es-MX"/>
        </w:rPr>
        <w:t>Jarden</w:t>
      </w:r>
      <w:proofErr w:type="spellEnd"/>
      <w:r w:rsidRPr="00D01EBD">
        <w:rPr>
          <w:rFonts w:ascii="Arial" w:hAnsi="Arial" w:cs="Arial"/>
          <w:lang w:val="es-MX"/>
        </w:rPr>
        <w:t xml:space="preserve"> et al., 2013; </w:t>
      </w:r>
      <w:proofErr w:type="spellStart"/>
      <w:r w:rsidRPr="00D01EBD">
        <w:rPr>
          <w:rFonts w:ascii="Arial" w:hAnsi="Arial" w:cs="Arial"/>
          <w:lang w:val="es-MX"/>
        </w:rPr>
        <w:t>Alibhai</w:t>
      </w:r>
      <w:proofErr w:type="spellEnd"/>
      <w:r w:rsidRPr="00D01EBD">
        <w:rPr>
          <w:rFonts w:ascii="Arial" w:hAnsi="Arial" w:cs="Arial"/>
          <w:lang w:val="es-MX"/>
        </w:rPr>
        <w:t xml:space="preserve"> et al., 2015). Más allá de los beneficios funcionales inmediatos, la tendencia observada hacia una menor recaída en quienes obtuvieron un mejor desempeño físico plantea la hipótesis de que la condición funcional puede representar un marcador de reserva fisiológica y resiliencia frente al tratamiento intensivo, lo que favorecería la adherencia y eficacia de la quimioterapia (</w:t>
      </w:r>
      <w:proofErr w:type="spellStart"/>
      <w:r w:rsidR="00BF5D31">
        <w:rPr>
          <w:rFonts w:ascii="Arial" w:hAnsi="Arial" w:cs="Arial"/>
          <w:lang w:val="es-MX"/>
        </w:rPr>
        <w:t>Morishita</w:t>
      </w:r>
      <w:proofErr w:type="spellEnd"/>
      <w:r w:rsidR="00BF5D31">
        <w:rPr>
          <w:rFonts w:ascii="Arial" w:hAnsi="Arial" w:cs="Arial"/>
          <w:lang w:val="es-MX"/>
        </w:rPr>
        <w:t xml:space="preserve"> et al.,2020; </w:t>
      </w:r>
      <w:proofErr w:type="spellStart"/>
      <w:r w:rsidR="00A100EA">
        <w:rPr>
          <w:rFonts w:ascii="Arial" w:hAnsi="Arial" w:cs="Arial"/>
          <w:lang w:val="es-MX"/>
        </w:rPr>
        <w:t>Neuendorf</w:t>
      </w:r>
      <w:proofErr w:type="spellEnd"/>
      <w:r w:rsidRPr="00D01EBD">
        <w:rPr>
          <w:rFonts w:ascii="Arial" w:hAnsi="Arial" w:cs="Arial"/>
          <w:lang w:val="es-MX"/>
        </w:rPr>
        <w:t xml:space="preserve"> et al., 202</w:t>
      </w:r>
      <w:r w:rsidR="00A100EA">
        <w:rPr>
          <w:rFonts w:ascii="Arial" w:hAnsi="Arial" w:cs="Arial"/>
          <w:lang w:val="es-MX"/>
        </w:rPr>
        <w:t>3</w:t>
      </w:r>
      <w:r w:rsidRPr="00D01EBD">
        <w:rPr>
          <w:rFonts w:ascii="Arial" w:hAnsi="Arial" w:cs="Arial"/>
          <w:lang w:val="es-MX"/>
        </w:rPr>
        <w:t>).</w:t>
      </w:r>
    </w:p>
    <w:p w14:paraId="534B7665"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Este razonamiento se encuentra alineado con estudios en otras neoplasias hematológicas y sólidas, donde parámetros como fuerza de prensión, velocidad de marcha o la batería SPPB han demostrado valor pronóstico en mortalidad y progresión (Ellis et al., 2023; Brown et al., 2014). Asimismo, la literatura ha documentado que el ejercicio puede modular la respuesta inmune y la inflamación sistémica, aumentando la actividad de células NK y linfocitos T y reduciendo el microambiente inflamatorio que favorece la proliferación tumoral (Coleta et al., 2021). Estos mecanismos biológicos plausibles podrían explicar la tendencia observada en esta cohorte, aunque no hayan alcanzado significancia estadística.</w:t>
      </w:r>
    </w:p>
    <w:p w14:paraId="1109EDA4"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 xml:space="preserve">En cuanto a las fortalezas, el estudio utilizó datos de un hospital de referencia en Latinoamérica, pruebas físicas estandarizadas y seguimiento a 500 días, lo que otorga solidez a las observaciones preliminares. Además, incluyó pacientes adultos jóvenes, un </w:t>
      </w:r>
      <w:r w:rsidRPr="00D01EBD">
        <w:rPr>
          <w:rFonts w:ascii="Arial" w:hAnsi="Arial" w:cs="Arial"/>
          <w:lang w:val="es-MX"/>
        </w:rPr>
        <w:lastRenderedPageBreak/>
        <w:t>grupo poco explorado en la literatura y con particular relevancia clínica por los retos en toxicidad y recaída.</w:t>
      </w:r>
    </w:p>
    <w:p w14:paraId="44EE641A"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No obstante, el trabajo presenta varias limitaciones metodológicas que deben considerarse. El tamaño muestral reducido (n=32) disminuye la potencia estadística y dificulta detectar asociaciones significativas. El diseño retrospectivo impide establecer causalidad y limita el control de sesgos. Asimismo, no se evaluaron variables potencialmente confusoras como factores genéticos, intensidad del tratamiento, estado nutricional, estilo de vida o niveles de inflamación sistémica, que podrían haber influido en la relación entre desempeño físico y recaída. Finalmente, aunque el seguimiento a 500 días permitió capturar eventos tempranos, un mayor tiempo de observación sería necesario para evaluar recaídas tardías, frecuentes en pacientes con LLA.</w:t>
      </w:r>
    </w:p>
    <w:p w14:paraId="68D3F74E" w14:textId="77777777" w:rsidR="00D01EBD" w:rsidRDefault="00D01EBD" w:rsidP="00D01EBD">
      <w:pPr>
        <w:spacing w:line="360" w:lineRule="auto"/>
        <w:jc w:val="both"/>
        <w:rPr>
          <w:rFonts w:ascii="Arial" w:hAnsi="Arial" w:cs="Arial"/>
          <w:lang w:val="es-MX"/>
        </w:rPr>
      </w:pPr>
      <w:r>
        <w:rPr>
          <w:rFonts w:ascii="Arial" w:hAnsi="Arial" w:cs="Arial"/>
          <w:lang w:val="es-MX"/>
        </w:rPr>
        <w:t>Conclusiones</w:t>
      </w:r>
    </w:p>
    <w:p w14:paraId="32480B3F"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Este estudio retrospectivo identificó que, aunque no se encontraron correlaciones estadísticamente significativas entre el desempeño físico y la recaída en pacientes jóvenes con leucemia linfoblástica aguda, se observó una tendencia hacia menor riesgo de recaída en quienes alcanzaron mejor desempeño físico.</w:t>
      </w:r>
    </w:p>
    <w:p w14:paraId="10E44289"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Los resultados confirman que el ejercicio estructurado es una intervención segura y eficaz para mejorar la capacidad funcional incluso durante fases intensivas de tratamiento. Esta evidencia refuerza la relevancia clínica de incorporar programas de ejercicio como parte integral del manejo oncológico.</w:t>
      </w:r>
    </w:p>
    <w:p w14:paraId="1FD942A9" w14:textId="77777777" w:rsidR="00D01EBD" w:rsidRPr="00D01EBD" w:rsidRDefault="00D01EBD" w:rsidP="00D01EBD">
      <w:pPr>
        <w:spacing w:line="360" w:lineRule="auto"/>
        <w:jc w:val="both"/>
        <w:rPr>
          <w:rFonts w:ascii="Arial" w:hAnsi="Arial" w:cs="Arial"/>
          <w:lang w:val="es-MX"/>
        </w:rPr>
      </w:pPr>
      <w:r w:rsidRPr="00D01EBD">
        <w:rPr>
          <w:rFonts w:ascii="Arial" w:hAnsi="Arial" w:cs="Arial"/>
          <w:lang w:val="es-MX"/>
        </w:rPr>
        <w:t>Futuros estudios con diseño prospectivo, mayor tamaño de muestra y control de variables confusoras serán necesarios para establecer con mayor certeza el valor pronóstico del desempeño físico en el riesgo de recaída.</w:t>
      </w:r>
    </w:p>
    <w:p w14:paraId="0193FE2C" w14:textId="77777777" w:rsidR="00814497" w:rsidRPr="00612AC8" w:rsidRDefault="00814497" w:rsidP="00D9312C">
      <w:pPr>
        <w:spacing w:line="360" w:lineRule="auto"/>
        <w:jc w:val="both"/>
        <w:rPr>
          <w:rFonts w:ascii="Arial" w:hAnsi="Arial" w:cs="Arial"/>
          <w:b/>
          <w:bCs/>
          <w:lang w:val="es-MX"/>
        </w:rPr>
      </w:pPr>
    </w:p>
    <w:p w14:paraId="50EF828C" w14:textId="77777777" w:rsidR="00814497" w:rsidRPr="00612AC8" w:rsidRDefault="00814497" w:rsidP="00D9312C">
      <w:pPr>
        <w:spacing w:line="360" w:lineRule="auto"/>
        <w:jc w:val="both"/>
        <w:rPr>
          <w:rFonts w:ascii="Arial" w:hAnsi="Arial" w:cs="Arial"/>
          <w:b/>
          <w:bCs/>
          <w:lang w:val="es-MX"/>
        </w:rPr>
      </w:pPr>
    </w:p>
    <w:p w14:paraId="59D82040" w14:textId="77777777" w:rsidR="00814497" w:rsidRPr="00612AC8" w:rsidRDefault="00814497" w:rsidP="00D9312C">
      <w:pPr>
        <w:spacing w:line="360" w:lineRule="auto"/>
        <w:jc w:val="both"/>
        <w:rPr>
          <w:rFonts w:ascii="Arial" w:hAnsi="Arial" w:cs="Arial"/>
          <w:b/>
          <w:bCs/>
          <w:lang w:val="es-MX"/>
        </w:rPr>
      </w:pPr>
    </w:p>
    <w:p w14:paraId="42BE6079" w14:textId="77777777" w:rsidR="00814497" w:rsidRPr="00612AC8" w:rsidRDefault="00814497" w:rsidP="00D9312C">
      <w:pPr>
        <w:spacing w:line="360" w:lineRule="auto"/>
        <w:jc w:val="both"/>
        <w:rPr>
          <w:rFonts w:ascii="Arial" w:hAnsi="Arial" w:cs="Arial"/>
          <w:b/>
          <w:bCs/>
          <w:lang w:val="es-MX"/>
        </w:rPr>
      </w:pPr>
    </w:p>
    <w:p w14:paraId="55BB9285" w14:textId="535A1AAE" w:rsidR="00E74394" w:rsidRPr="00BA1579" w:rsidRDefault="00E74394" w:rsidP="00D9312C">
      <w:pPr>
        <w:spacing w:line="360" w:lineRule="auto"/>
        <w:jc w:val="both"/>
        <w:rPr>
          <w:rFonts w:ascii="Arial" w:hAnsi="Arial" w:cs="Arial"/>
          <w:b/>
          <w:bCs/>
        </w:rPr>
      </w:pPr>
      <w:proofErr w:type="spellStart"/>
      <w:r w:rsidRPr="00BA1579">
        <w:rPr>
          <w:rFonts w:ascii="Arial" w:hAnsi="Arial" w:cs="Arial"/>
          <w:b/>
          <w:bCs/>
        </w:rPr>
        <w:lastRenderedPageBreak/>
        <w:t>Referencias</w:t>
      </w:r>
      <w:proofErr w:type="spellEnd"/>
    </w:p>
    <w:p w14:paraId="408CD203" w14:textId="7EC5694F" w:rsidR="00814497" w:rsidRDefault="00814497" w:rsidP="00814497">
      <w:pPr>
        <w:spacing w:line="360" w:lineRule="auto"/>
        <w:jc w:val="both"/>
        <w:rPr>
          <w:rFonts w:ascii="Arial" w:hAnsi="Arial" w:cs="Arial"/>
          <w:lang w:val="es-MX"/>
        </w:rPr>
      </w:pPr>
      <w:r w:rsidRPr="00BA1579">
        <w:rPr>
          <w:rFonts w:ascii="Arial" w:hAnsi="Arial" w:cs="Arial"/>
        </w:rPr>
        <w:t xml:space="preserve">Acute Lymphocytic Leukemia - </w:t>
      </w:r>
      <w:r w:rsidR="00612AC8" w:rsidRPr="00BA1579">
        <w:rPr>
          <w:rFonts w:ascii="Arial" w:hAnsi="Arial" w:cs="Arial"/>
        </w:rPr>
        <w:t>C</w:t>
      </w:r>
      <w:r w:rsidRPr="00BA1579">
        <w:rPr>
          <w:rFonts w:ascii="Arial" w:hAnsi="Arial" w:cs="Arial"/>
        </w:rPr>
        <w:t xml:space="preserve">ancer </w:t>
      </w:r>
      <w:r w:rsidR="00612AC8" w:rsidRPr="00BA1579">
        <w:rPr>
          <w:rFonts w:ascii="Arial" w:hAnsi="Arial" w:cs="Arial"/>
        </w:rPr>
        <w:t>S</w:t>
      </w:r>
      <w:r w:rsidRPr="00BA1579">
        <w:rPr>
          <w:rFonts w:ascii="Arial" w:hAnsi="Arial" w:cs="Arial"/>
        </w:rPr>
        <w:t xml:space="preserve">tat </w:t>
      </w:r>
      <w:r w:rsidR="00612AC8" w:rsidRPr="00BA1579">
        <w:rPr>
          <w:rFonts w:ascii="Arial" w:hAnsi="Arial" w:cs="Arial"/>
        </w:rPr>
        <w:t>F</w:t>
      </w:r>
      <w:r w:rsidRPr="00BA1579">
        <w:rPr>
          <w:rFonts w:ascii="Arial" w:hAnsi="Arial" w:cs="Arial"/>
        </w:rPr>
        <w:t xml:space="preserve">acts. </w:t>
      </w:r>
      <w:r w:rsidRPr="00814497">
        <w:rPr>
          <w:rFonts w:ascii="Arial" w:hAnsi="Arial" w:cs="Arial"/>
          <w:lang w:val="es-MX"/>
        </w:rPr>
        <w:t xml:space="preserve">(s/f). SEER. Recuperado el 10 de septiembre de 2025, de </w:t>
      </w:r>
      <w:hyperlink r:id="rId10" w:history="1">
        <w:r w:rsidRPr="00D12E29">
          <w:rPr>
            <w:rStyle w:val="Hyperlink"/>
            <w:rFonts w:ascii="Arial" w:hAnsi="Arial" w:cs="Arial"/>
            <w:lang w:val="es-MX"/>
          </w:rPr>
          <w:t>https://seer.cancer.gov/statfacts/html/alyl.html</w:t>
        </w:r>
      </w:hyperlink>
    </w:p>
    <w:p w14:paraId="14D4306D" w14:textId="5540A9B2" w:rsidR="00814497" w:rsidRPr="00814497" w:rsidRDefault="00814497" w:rsidP="00814497">
      <w:pPr>
        <w:spacing w:line="360" w:lineRule="auto"/>
        <w:jc w:val="both"/>
        <w:rPr>
          <w:rFonts w:ascii="Arial" w:hAnsi="Arial" w:cs="Arial"/>
          <w:lang w:val="de-DE"/>
        </w:rPr>
      </w:pPr>
      <w:proofErr w:type="spellStart"/>
      <w:r w:rsidRPr="00814497">
        <w:rPr>
          <w:rFonts w:ascii="Arial" w:hAnsi="Arial" w:cs="Arial"/>
          <w:lang w:val="es-MX"/>
        </w:rPr>
        <w:t>Alibhai</w:t>
      </w:r>
      <w:proofErr w:type="spellEnd"/>
      <w:r w:rsidRPr="00814497">
        <w:rPr>
          <w:rFonts w:ascii="Arial" w:hAnsi="Arial" w:cs="Arial"/>
          <w:lang w:val="es-MX"/>
        </w:rPr>
        <w:t xml:space="preserve">, S. M. H., </w:t>
      </w:r>
      <w:proofErr w:type="spellStart"/>
      <w:r w:rsidRPr="00814497">
        <w:rPr>
          <w:rFonts w:ascii="Arial" w:hAnsi="Arial" w:cs="Arial"/>
          <w:lang w:val="es-MX"/>
        </w:rPr>
        <w:t>Durbano</w:t>
      </w:r>
      <w:proofErr w:type="spellEnd"/>
      <w:r w:rsidRPr="00814497">
        <w:rPr>
          <w:rFonts w:ascii="Arial" w:hAnsi="Arial" w:cs="Arial"/>
          <w:lang w:val="es-MX"/>
        </w:rPr>
        <w:t xml:space="preserve">, S., </w:t>
      </w:r>
      <w:proofErr w:type="spellStart"/>
      <w:r w:rsidRPr="00814497">
        <w:rPr>
          <w:rFonts w:ascii="Arial" w:hAnsi="Arial" w:cs="Arial"/>
          <w:lang w:val="es-MX"/>
        </w:rPr>
        <w:t>Breunis</w:t>
      </w:r>
      <w:proofErr w:type="spellEnd"/>
      <w:r w:rsidRPr="00814497">
        <w:rPr>
          <w:rFonts w:ascii="Arial" w:hAnsi="Arial" w:cs="Arial"/>
          <w:lang w:val="es-MX"/>
        </w:rPr>
        <w:t xml:space="preserve">, H., </w:t>
      </w:r>
      <w:proofErr w:type="spellStart"/>
      <w:r w:rsidRPr="00814497">
        <w:rPr>
          <w:rFonts w:ascii="Arial" w:hAnsi="Arial" w:cs="Arial"/>
          <w:lang w:val="es-MX"/>
        </w:rPr>
        <w:t>Brandwein</w:t>
      </w:r>
      <w:proofErr w:type="spellEnd"/>
      <w:r w:rsidRPr="00814497">
        <w:rPr>
          <w:rFonts w:ascii="Arial" w:hAnsi="Arial" w:cs="Arial"/>
          <w:lang w:val="es-MX"/>
        </w:rPr>
        <w:t xml:space="preserve">, J. M., </w:t>
      </w:r>
      <w:proofErr w:type="spellStart"/>
      <w:r w:rsidRPr="00814497">
        <w:rPr>
          <w:rFonts w:ascii="Arial" w:hAnsi="Arial" w:cs="Arial"/>
          <w:lang w:val="es-MX"/>
        </w:rPr>
        <w:t>Timilshina</w:t>
      </w:r>
      <w:proofErr w:type="spellEnd"/>
      <w:r w:rsidRPr="00814497">
        <w:rPr>
          <w:rFonts w:ascii="Arial" w:hAnsi="Arial" w:cs="Arial"/>
          <w:lang w:val="es-MX"/>
        </w:rPr>
        <w:t xml:space="preserve">, N., Tomlinson, G. A., Oh, P. I., &amp; Culos-Reed, S. N. (2015). </w:t>
      </w:r>
      <w:r w:rsidRPr="00814497">
        <w:rPr>
          <w:rFonts w:ascii="Arial" w:hAnsi="Arial" w:cs="Arial"/>
        </w:rPr>
        <w:t xml:space="preserve">A phase II exercise randomized controlled trial for patients with acute myeloid leukemia undergoing induction chemotherapy. </w:t>
      </w:r>
      <w:r w:rsidRPr="00612AC8">
        <w:rPr>
          <w:rFonts w:ascii="Arial" w:hAnsi="Arial" w:cs="Arial"/>
          <w:i/>
          <w:iCs/>
          <w:lang w:val="de-DE"/>
        </w:rPr>
        <w:t>Leukemia Research</w:t>
      </w:r>
      <w:r w:rsidRPr="00612AC8">
        <w:rPr>
          <w:rFonts w:ascii="Arial" w:hAnsi="Arial" w:cs="Arial"/>
          <w:lang w:val="de-DE"/>
        </w:rPr>
        <w:t xml:space="preserve">, 39(11), 1178–1186. </w:t>
      </w:r>
      <w:r>
        <w:fldChar w:fldCharType="begin"/>
      </w:r>
      <w:r w:rsidRPr="00BA1579">
        <w:rPr>
          <w:lang w:val="de-DE"/>
        </w:rPr>
        <w:instrText>HYPERLINK "https://doi.org/10.1016/j.leukres.2015.08.012"</w:instrText>
      </w:r>
      <w:r>
        <w:fldChar w:fldCharType="separate"/>
      </w:r>
      <w:r w:rsidRPr="00814497">
        <w:rPr>
          <w:rStyle w:val="Hyperlink"/>
          <w:rFonts w:ascii="Arial" w:hAnsi="Arial" w:cs="Arial"/>
          <w:lang w:val="de-DE"/>
        </w:rPr>
        <w:t>https://doi.org/10.1016/j.leukres.2015.08.012</w:t>
      </w:r>
      <w:r>
        <w:fldChar w:fldCharType="end"/>
      </w:r>
    </w:p>
    <w:p w14:paraId="7AC73537" w14:textId="2DCF5D3A" w:rsidR="00814497" w:rsidRDefault="00814497" w:rsidP="00814497">
      <w:pPr>
        <w:spacing w:line="360" w:lineRule="auto"/>
        <w:jc w:val="both"/>
        <w:rPr>
          <w:rFonts w:ascii="Arial" w:hAnsi="Arial" w:cs="Arial"/>
        </w:rPr>
      </w:pPr>
      <w:r w:rsidRPr="00814497">
        <w:rPr>
          <w:rFonts w:ascii="Arial" w:hAnsi="Arial" w:cs="Arial"/>
          <w:lang w:val="de-DE"/>
        </w:rPr>
        <w:t xml:space="preserve">Argirion, I., Weinstein, S. J., Männistö, S., Albanes, D., &amp; Mondul, A. M. (2017). </w:t>
      </w:r>
      <w:r w:rsidRPr="00814497">
        <w:rPr>
          <w:rFonts w:ascii="Arial" w:hAnsi="Arial" w:cs="Arial"/>
        </w:rPr>
        <w:t xml:space="preserve">Serum insulin, glucose, indices of insulin resistance, and risk of lung cancer. Cancer Epidemiology, Biomarkers &amp; Prevention: A Publication of the American Association for Cancer Research, </w:t>
      </w:r>
      <w:r w:rsidRPr="00814497">
        <w:rPr>
          <w:rFonts w:ascii="Arial" w:hAnsi="Arial" w:cs="Arial"/>
          <w:i/>
          <w:iCs/>
        </w:rPr>
        <w:t>Cosponsored by the American Society of Preventive Oncology</w:t>
      </w:r>
      <w:r w:rsidRPr="00814497">
        <w:rPr>
          <w:rFonts w:ascii="Arial" w:hAnsi="Arial" w:cs="Arial"/>
        </w:rPr>
        <w:t xml:space="preserve">, 26(10), 1519–1524. </w:t>
      </w:r>
      <w:hyperlink r:id="rId11" w:history="1">
        <w:r w:rsidRPr="00D12E29">
          <w:rPr>
            <w:rStyle w:val="Hyperlink"/>
            <w:rFonts w:ascii="Arial" w:hAnsi="Arial" w:cs="Arial"/>
          </w:rPr>
          <w:t>https://doi.org/10.1158/1055-9965.EPI-17-0293</w:t>
        </w:r>
      </w:hyperlink>
    </w:p>
    <w:p w14:paraId="2D7CEDB5" w14:textId="1E59B4A6" w:rsidR="00814497" w:rsidRDefault="00814497" w:rsidP="00814497">
      <w:pPr>
        <w:spacing w:line="360" w:lineRule="auto"/>
        <w:jc w:val="both"/>
        <w:rPr>
          <w:rFonts w:ascii="Arial" w:hAnsi="Arial" w:cs="Arial"/>
        </w:rPr>
      </w:pPr>
      <w:r w:rsidRPr="00612AC8">
        <w:rPr>
          <w:rFonts w:ascii="Arial" w:hAnsi="Arial" w:cs="Arial"/>
        </w:rPr>
        <w:t xml:space="preserve">Beswick, A. D., Wylde, V., Bertram, W., &amp; Whale, K. (2023). </w:t>
      </w:r>
      <w:r w:rsidRPr="00814497">
        <w:rPr>
          <w:rFonts w:ascii="Arial" w:hAnsi="Arial" w:cs="Arial"/>
        </w:rPr>
        <w:t xml:space="preserve">The effectiveness of non-pharmacological sleep interventions for improving inpatient sleep in hospital: A systematic review and meta-analysis. </w:t>
      </w:r>
      <w:r w:rsidRPr="00814497">
        <w:rPr>
          <w:rFonts w:ascii="Arial" w:hAnsi="Arial" w:cs="Arial"/>
          <w:i/>
          <w:iCs/>
        </w:rPr>
        <w:t>Sleep Medicine</w:t>
      </w:r>
      <w:r w:rsidRPr="00814497">
        <w:rPr>
          <w:rFonts w:ascii="Arial" w:hAnsi="Arial" w:cs="Arial"/>
        </w:rPr>
        <w:t xml:space="preserve">, 107, 243–267. </w:t>
      </w:r>
      <w:hyperlink r:id="rId12" w:history="1">
        <w:r w:rsidRPr="00D12E29">
          <w:rPr>
            <w:rStyle w:val="Hyperlink"/>
            <w:rFonts w:ascii="Arial" w:hAnsi="Arial" w:cs="Arial"/>
          </w:rPr>
          <w:t>https://doi.org/10.1016/j.sleep.2023.05.004</w:t>
        </w:r>
      </w:hyperlink>
    </w:p>
    <w:p w14:paraId="2008037F" w14:textId="53F334A2" w:rsidR="00814497" w:rsidRDefault="00814497" w:rsidP="00814497">
      <w:pPr>
        <w:spacing w:line="360" w:lineRule="auto"/>
        <w:jc w:val="both"/>
        <w:rPr>
          <w:rFonts w:ascii="Arial" w:hAnsi="Arial" w:cs="Arial"/>
        </w:rPr>
      </w:pPr>
      <w:r w:rsidRPr="00814497">
        <w:rPr>
          <w:rFonts w:ascii="Arial" w:hAnsi="Arial" w:cs="Arial"/>
        </w:rPr>
        <w:t xml:space="preserve">Bhojwani, D., Sabin, N. D., Pei, D., Yang, J. J., Khan, R. B., Panetta, J. C., Krull, K. R., Inaba, H., Rubnitz, J. E., Metzger, M. L., Howard, S. C., Ribeiro, R. C., Cheng, C., Reddick, W. E., Jeha, S., Sandlund, J. T., Evans, W. E., Pui, C.-H., &amp; </w:t>
      </w:r>
      <w:proofErr w:type="spellStart"/>
      <w:r w:rsidRPr="00814497">
        <w:rPr>
          <w:rFonts w:ascii="Arial" w:hAnsi="Arial" w:cs="Arial"/>
        </w:rPr>
        <w:t>Relling</w:t>
      </w:r>
      <w:proofErr w:type="spellEnd"/>
      <w:r w:rsidRPr="00814497">
        <w:rPr>
          <w:rFonts w:ascii="Arial" w:hAnsi="Arial" w:cs="Arial"/>
        </w:rPr>
        <w:t xml:space="preserve">, M. V. (2014). Methotrexate-induced neurotoxicity and leukoencephalopathy in childhood acute lymphoblastic leukemia. Journal of Clinical Oncology: </w:t>
      </w:r>
      <w:r w:rsidRPr="00814497">
        <w:rPr>
          <w:rFonts w:ascii="Arial" w:hAnsi="Arial" w:cs="Arial"/>
          <w:i/>
          <w:iCs/>
        </w:rPr>
        <w:t>Official Journal of the American Society of Clinical Oncology</w:t>
      </w:r>
      <w:r w:rsidRPr="00814497">
        <w:rPr>
          <w:rFonts w:ascii="Arial" w:hAnsi="Arial" w:cs="Arial"/>
        </w:rPr>
        <w:t xml:space="preserve">, 32(9), 949–959. </w:t>
      </w:r>
      <w:hyperlink r:id="rId13" w:history="1">
        <w:r w:rsidRPr="00D12E29">
          <w:rPr>
            <w:rStyle w:val="Hyperlink"/>
            <w:rFonts w:ascii="Arial" w:hAnsi="Arial" w:cs="Arial"/>
          </w:rPr>
          <w:t>https://doi.org/10.1200/JCO.2013.53.0808</w:t>
        </w:r>
      </w:hyperlink>
    </w:p>
    <w:p w14:paraId="7D9F8094" w14:textId="36CD7E01" w:rsidR="00814497" w:rsidRDefault="00814497" w:rsidP="00814497">
      <w:pPr>
        <w:spacing w:line="360" w:lineRule="auto"/>
        <w:jc w:val="both"/>
        <w:rPr>
          <w:rFonts w:ascii="Arial" w:hAnsi="Arial" w:cs="Arial"/>
        </w:rPr>
      </w:pPr>
      <w:r w:rsidRPr="00814497">
        <w:rPr>
          <w:rFonts w:ascii="Arial" w:hAnsi="Arial" w:cs="Arial"/>
        </w:rPr>
        <w:t xml:space="preserve">Brown, J. C., Harhay, M. O., &amp; Harhay, M. N. (2015). Physical function as a prognostic biomarker among cancer survivors. </w:t>
      </w:r>
      <w:r w:rsidRPr="00814497">
        <w:rPr>
          <w:rFonts w:ascii="Arial" w:hAnsi="Arial" w:cs="Arial"/>
          <w:i/>
          <w:iCs/>
        </w:rPr>
        <w:t>British Journal of Cancer</w:t>
      </w:r>
      <w:r w:rsidRPr="00814497">
        <w:rPr>
          <w:rFonts w:ascii="Arial" w:hAnsi="Arial" w:cs="Arial"/>
        </w:rPr>
        <w:t xml:space="preserve">, 112(1), 194–198. </w:t>
      </w:r>
      <w:hyperlink r:id="rId14" w:history="1">
        <w:r w:rsidRPr="00D12E29">
          <w:rPr>
            <w:rStyle w:val="Hyperlink"/>
            <w:rFonts w:ascii="Arial" w:hAnsi="Arial" w:cs="Arial"/>
          </w:rPr>
          <w:t>https://doi.org/10.1038/bjc.2014.568</w:t>
        </w:r>
      </w:hyperlink>
    </w:p>
    <w:p w14:paraId="24967C01" w14:textId="3412B3B4" w:rsidR="00814497" w:rsidRPr="00612AC8" w:rsidRDefault="00814497" w:rsidP="00814497">
      <w:pPr>
        <w:spacing w:line="360" w:lineRule="auto"/>
        <w:jc w:val="both"/>
        <w:rPr>
          <w:rFonts w:ascii="Arial" w:hAnsi="Arial" w:cs="Arial"/>
        </w:rPr>
      </w:pPr>
      <w:proofErr w:type="spellStart"/>
      <w:r w:rsidRPr="00814497">
        <w:rPr>
          <w:rFonts w:ascii="Arial" w:hAnsi="Arial" w:cs="Arial"/>
        </w:rPr>
        <w:t>Carayon</w:t>
      </w:r>
      <w:proofErr w:type="spellEnd"/>
      <w:r w:rsidRPr="00814497">
        <w:rPr>
          <w:rFonts w:ascii="Arial" w:hAnsi="Arial" w:cs="Arial"/>
        </w:rPr>
        <w:t xml:space="preserve">, P., Wust, K., Hose, B.-Z., &amp; Salwei, M. E. (2021). Human factors and ergonomics in health care. En HANDBOOK OF HUMAN FACTORS AND ERGONOMICS (pp. 1417–1437). </w:t>
      </w:r>
      <w:r w:rsidRPr="00814497">
        <w:rPr>
          <w:rFonts w:ascii="Arial" w:hAnsi="Arial" w:cs="Arial"/>
          <w:i/>
          <w:iCs/>
        </w:rPr>
        <w:t>Wiley</w:t>
      </w:r>
      <w:r w:rsidRPr="00814497">
        <w:rPr>
          <w:rFonts w:ascii="Arial" w:hAnsi="Arial" w:cs="Arial"/>
        </w:rPr>
        <w:t xml:space="preserve">. </w:t>
      </w:r>
      <w:hyperlink r:id="rId15" w:history="1">
        <w:r w:rsidRPr="00612AC8">
          <w:rPr>
            <w:rStyle w:val="Hyperlink"/>
            <w:rFonts w:ascii="Arial" w:hAnsi="Arial" w:cs="Arial"/>
          </w:rPr>
          <w:t>https://doi.org/10.1002/9781119636113.ch53</w:t>
        </w:r>
      </w:hyperlink>
    </w:p>
    <w:p w14:paraId="18A5C5D4" w14:textId="073D2C5B" w:rsidR="00814497" w:rsidRDefault="00814497" w:rsidP="00814497">
      <w:pPr>
        <w:spacing w:line="360" w:lineRule="auto"/>
        <w:jc w:val="both"/>
        <w:rPr>
          <w:rFonts w:ascii="Arial" w:hAnsi="Arial" w:cs="Arial"/>
        </w:rPr>
      </w:pPr>
      <w:r w:rsidRPr="00814497">
        <w:rPr>
          <w:rFonts w:ascii="Arial" w:hAnsi="Arial" w:cs="Arial"/>
          <w:lang w:val="es-MX"/>
        </w:rPr>
        <w:lastRenderedPageBreak/>
        <w:t xml:space="preserve">Coelho, A., Parola, V., Cardoso, D., Bravo, M. E., &amp; Apóstolo, J. (2017). </w:t>
      </w:r>
      <w:r w:rsidRPr="00814497">
        <w:rPr>
          <w:rFonts w:ascii="Arial" w:hAnsi="Arial" w:cs="Arial"/>
        </w:rPr>
        <w:t xml:space="preserve">Use of non-pharmacological interventions for comforting patients in palliative care: a scoping review. JBI Database of Systematic </w:t>
      </w:r>
      <w:r w:rsidRPr="00814497">
        <w:rPr>
          <w:rFonts w:ascii="Arial" w:hAnsi="Arial" w:cs="Arial"/>
          <w:i/>
          <w:iCs/>
        </w:rPr>
        <w:t>Reviews and Implementation Reports</w:t>
      </w:r>
      <w:r w:rsidRPr="00814497">
        <w:rPr>
          <w:rFonts w:ascii="Arial" w:hAnsi="Arial" w:cs="Arial"/>
        </w:rPr>
        <w:t xml:space="preserve">, 15(7), 1867–1904. </w:t>
      </w:r>
      <w:hyperlink r:id="rId16" w:history="1">
        <w:r w:rsidRPr="00D12E29">
          <w:rPr>
            <w:rStyle w:val="Hyperlink"/>
            <w:rFonts w:ascii="Arial" w:hAnsi="Arial" w:cs="Arial"/>
          </w:rPr>
          <w:t>https://doi.org/10.11124/JBISRIR-2016-003204</w:t>
        </w:r>
      </w:hyperlink>
    </w:p>
    <w:p w14:paraId="119A1276" w14:textId="0248B057" w:rsidR="00814497" w:rsidRDefault="00814497" w:rsidP="00814497">
      <w:pPr>
        <w:spacing w:line="360" w:lineRule="auto"/>
        <w:jc w:val="both"/>
        <w:rPr>
          <w:rFonts w:ascii="Arial" w:hAnsi="Arial" w:cs="Arial"/>
        </w:rPr>
      </w:pPr>
      <w:r w:rsidRPr="00814497">
        <w:rPr>
          <w:rFonts w:ascii="Arial" w:hAnsi="Arial" w:cs="Arial"/>
        </w:rPr>
        <w:t xml:space="preserve">Coletta, A. M., Agha, N. H., Baker, F. L., </w:t>
      </w:r>
      <w:proofErr w:type="spellStart"/>
      <w:r w:rsidRPr="00814497">
        <w:rPr>
          <w:rFonts w:ascii="Arial" w:hAnsi="Arial" w:cs="Arial"/>
        </w:rPr>
        <w:t>Niemiro</w:t>
      </w:r>
      <w:proofErr w:type="spellEnd"/>
      <w:r w:rsidRPr="00814497">
        <w:rPr>
          <w:rFonts w:ascii="Arial" w:hAnsi="Arial" w:cs="Arial"/>
        </w:rPr>
        <w:t xml:space="preserve">, G. M., </w:t>
      </w:r>
      <w:proofErr w:type="spellStart"/>
      <w:r w:rsidRPr="00814497">
        <w:rPr>
          <w:rFonts w:ascii="Arial" w:hAnsi="Arial" w:cs="Arial"/>
        </w:rPr>
        <w:t>Mylabathula</w:t>
      </w:r>
      <w:proofErr w:type="spellEnd"/>
      <w:r w:rsidRPr="00814497">
        <w:rPr>
          <w:rFonts w:ascii="Arial" w:hAnsi="Arial" w:cs="Arial"/>
        </w:rPr>
        <w:t xml:space="preserve">, P. L., Brewster, A. M., Bevers, T. B., Fuentes-Mattei, E., Basen-Engquist, K., Gilchrist, S. C., &amp; Simpson, R. J. (2021). The impact of high-intensity interval exercise training on NK-cell function and circulating myokines for breast cancer prevention among women at high risk for breast cancer. </w:t>
      </w:r>
      <w:r w:rsidRPr="00814497">
        <w:rPr>
          <w:rFonts w:ascii="Arial" w:hAnsi="Arial" w:cs="Arial"/>
          <w:i/>
          <w:iCs/>
        </w:rPr>
        <w:t>Breast Cancer Research and Treatment</w:t>
      </w:r>
      <w:r w:rsidRPr="00814497">
        <w:rPr>
          <w:rFonts w:ascii="Arial" w:hAnsi="Arial" w:cs="Arial"/>
        </w:rPr>
        <w:t xml:space="preserve">, 187(2), 407–416. </w:t>
      </w:r>
      <w:hyperlink r:id="rId17" w:history="1">
        <w:r w:rsidRPr="00D12E29">
          <w:rPr>
            <w:rStyle w:val="Hyperlink"/>
            <w:rFonts w:ascii="Arial" w:hAnsi="Arial" w:cs="Arial"/>
          </w:rPr>
          <w:t>https://doi.org/10.1007/s10549-021-06111-z</w:t>
        </w:r>
      </w:hyperlink>
    </w:p>
    <w:p w14:paraId="36F1FB34" w14:textId="624C7D26" w:rsidR="00814497" w:rsidRDefault="00814497" w:rsidP="00814497">
      <w:pPr>
        <w:spacing w:line="360" w:lineRule="auto"/>
        <w:jc w:val="both"/>
        <w:rPr>
          <w:rFonts w:ascii="Arial" w:hAnsi="Arial" w:cs="Arial"/>
        </w:rPr>
      </w:pPr>
      <w:r w:rsidRPr="00814497">
        <w:rPr>
          <w:rFonts w:ascii="Arial" w:hAnsi="Arial" w:cs="Arial"/>
        </w:rPr>
        <w:t>Di Domenico, I., Hoffmann, S. M., &amp; Collins, P. K. (2022). The role of sports clothing in thermoregulation, comfort, and performance during exercise in the heat: A narrative review.</w:t>
      </w:r>
      <w:r w:rsidRPr="00814497">
        <w:rPr>
          <w:rFonts w:ascii="Arial" w:hAnsi="Arial" w:cs="Arial"/>
          <w:i/>
          <w:iCs/>
        </w:rPr>
        <w:t xml:space="preserve"> Sports Medicine</w:t>
      </w:r>
      <w:r w:rsidRPr="00814497">
        <w:rPr>
          <w:rFonts w:ascii="Arial" w:hAnsi="Arial" w:cs="Arial"/>
        </w:rPr>
        <w:t xml:space="preserve"> - Open, 8(1), 58. </w:t>
      </w:r>
      <w:hyperlink r:id="rId18" w:history="1">
        <w:r w:rsidRPr="00D12E29">
          <w:rPr>
            <w:rStyle w:val="Hyperlink"/>
            <w:rFonts w:ascii="Arial" w:hAnsi="Arial" w:cs="Arial"/>
          </w:rPr>
          <w:t>https://doi.org/10.1186/s40798-022-00449-4</w:t>
        </w:r>
      </w:hyperlink>
    </w:p>
    <w:p w14:paraId="33FD36F8" w14:textId="77777777" w:rsidR="00814497" w:rsidRPr="00814497" w:rsidRDefault="00814497" w:rsidP="00814497">
      <w:pPr>
        <w:spacing w:line="360" w:lineRule="auto"/>
        <w:jc w:val="both"/>
        <w:rPr>
          <w:rFonts w:ascii="Arial" w:hAnsi="Arial" w:cs="Arial"/>
        </w:rPr>
      </w:pPr>
      <w:r w:rsidRPr="00814497">
        <w:rPr>
          <w:rFonts w:ascii="Arial" w:hAnsi="Arial" w:cs="Arial"/>
        </w:rPr>
        <w:t xml:space="preserve">Drake, N., Smeed, J., Carper, M., &amp; Crawford, M. C. &amp;. (2017). Effects of Short-Term </w:t>
      </w:r>
      <w:proofErr w:type="spellStart"/>
      <w:r w:rsidRPr="00814497">
        <w:rPr>
          <w:rFonts w:ascii="Arial" w:hAnsi="Arial" w:cs="Arial"/>
        </w:rPr>
        <w:t>CrossFitTM</w:t>
      </w:r>
      <w:proofErr w:type="spellEnd"/>
      <w:r w:rsidRPr="00814497">
        <w:rPr>
          <w:rFonts w:ascii="Arial" w:hAnsi="Arial" w:cs="Arial"/>
        </w:rPr>
        <w:t xml:space="preserve"> Training: A Magnitude-Based Approach. </w:t>
      </w:r>
      <w:r w:rsidRPr="00814497">
        <w:rPr>
          <w:rFonts w:ascii="Arial" w:hAnsi="Arial" w:cs="Arial"/>
          <w:i/>
          <w:iCs/>
        </w:rPr>
        <w:t>Journal of Exercise Physiology</w:t>
      </w:r>
      <w:r w:rsidRPr="00814497">
        <w:rPr>
          <w:rFonts w:ascii="Arial" w:hAnsi="Arial" w:cs="Arial"/>
        </w:rPr>
        <w:t xml:space="preserve"> Online, 111–133.</w:t>
      </w:r>
    </w:p>
    <w:p w14:paraId="01C690C3" w14:textId="586ACEDA" w:rsidR="00814497" w:rsidRDefault="00814497" w:rsidP="00814497">
      <w:pPr>
        <w:spacing w:line="360" w:lineRule="auto"/>
        <w:jc w:val="both"/>
        <w:rPr>
          <w:rFonts w:ascii="Arial" w:hAnsi="Arial" w:cs="Arial"/>
          <w:lang w:val="es-MX"/>
        </w:rPr>
      </w:pPr>
      <w:r w:rsidRPr="00814497">
        <w:rPr>
          <w:rFonts w:ascii="Arial" w:hAnsi="Arial" w:cs="Arial"/>
        </w:rPr>
        <w:t xml:space="preserve">Early detection, diagnosis, and prognosis of childhood leukemia. </w:t>
      </w:r>
      <w:r w:rsidRPr="00814497">
        <w:rPr>
          <w:rFonts w:ascii="Arial" w:hAnsi="Arial" w:cs="Arial"/>
          <w:lang w:val="es-MX"/>
        </w:rPr>
        <w:t xml:space="preserve">(s/f). Cancer.org. Recuperado el 10 de septiembre de 2025, de </w:t>
      </w:r>
      <w:r>
        <w:fldChar w:fldCharType="begin"/>
      </w:r>
      <w:r w:rsidRPr="00BA1579">
        <w:rPr>
          <w:lang w:val="es-MX"/>
        </w:rPr>
        <w:instrText>HYPERLINK "https://www.cancer.org/cancer/types/leukemia-in-children/detection-diagnosis-staging.html"</w:instrText>
      </w:r>
      <w:r>
        <w:fldChar w:fldCharType="separate"/>
      </w:r>
      <w:r w:rsidRPr="00D12E29">
        <w:rPr>
          <w:rStyle w:val="Hyperlink"/>
          <w:rFonts w:ascii="Arial" w:hAnsi="Arial" w:cs="Arial"/>
          <w:lang w:val="es-MX"/>
        </w:rPr>
        <w:t>https://www.cancer.org/cancer/types/leukemia-in-children/detection-diagnosis-staging.html</w:t>
      </w:r>
      <w:r>
        <w:fldChar w:fldCharType="end"/>
      </w:r>
    </w:p>
    <w:p w14:paraId="5FD4949A" w14:textId="0F3A1AA0" w:rsidR="00814497" w:rsidRDefault="00814497" w:rsidP="00814497">
      <w:pPr>
        <w:spacing w:line="360" w:lineRule="auto"/>
        <w:jc w:val="both"/>
        <w:rPr>
          <w:rFonts w:ascii="Arial" w:hAnsi="Arial" w:cs="Arial"/>
        </w:rPr>
      </w:pPr>
      <w:r w:rsidRPr="00612AC8">
        <w:rPr>
          <w:rFonts w:ascii="Arial" w:hAnsi="Arial" w:cs="Arial"/>
        </w:rPr>
        <w:t xml:space="preserve">Ellis, R., Blough, A., &amp; Clark, M. (2023). </w:t>
      </w:r>
      <w:r w:rsidRPr="00814497">
        <w:rPr>
          <w:rFonts w:ascii="Arial" w:hAnsi="Arial" w:cs="Arial"/>
        </w:rPr>
        <w:t xml:space="preserve">A systematic review of physical function tests as predictors of key clinical outcomes for adults with blood cancers. Supportive Care in Cancer: </w:t>
      </w:r>
      <w:r w:rsidRPr="00814497">
        <w:rPr>
          <w:rFonts w:ascii="Arial" w:hAnsi="Arial" w:cs="Arial"/>
          <w:i/>
          <w:iCs/>
        </w:rPr>
        <w:t>Official Journal of the Multinational Association of Supportive Care in Cancer</w:t>
      </w:r>
      <w:r w:rsidRPr="00814497">
        <w:rPr>
          <w:rFonts w:ascii="Arial" w:hAnsi="Arial" w:cs="Arial"/>
        </w:rPr>
        <w:t xml:space="preserve">, 31(9), 555. </w:t>
      </w:r>
      <w:hyperlink r:id="rId19" w:history="1">
        <w:r w:rsidRPr="00D12E29">
          <w:rPr>
            <w:rStyle w:val="Hyperlink"/>
            <w:rFonts w:ascii="Arial" w:hAnsi="Arial" w:cs="Arial"/>
          </w:rPr>
          <w:t>https://doi.org/10.1007/s00520-023-08023-8</w:t>
        </w:r>
      </w:hyperlink>
    </w:p>
    <w:p w14:paraId="281AB273" w14:textId="061803CE" w:rsidR="00814497" w:rsidRDefault="00814497" w:rsidP="00814497">
      <w:pPr>
        <w:spacing w:line="360" w:lineRule="auto"/>
        <w:jc w:val="both"/>
        <w:rPr>
          <w:rFonts w:ascii="Arial" w:hAnsi="Arial" w:cs="Arial"/>
        </w:rPr>
      </w:pPr>
      <w:r w:rsidRPr="00814497">
        <w:rPr>
          <w:rFonts w:ascii="Arial" w:hAnsi="Arial" w:cs="Arial"/>
        </w:rPr>
        <w:t xml:space="preserve">Erickson, K. I., Prakash, R. S., Voss, M. W., Chaddock, L., Hu, L., Morris, K. S., White, S. M., </w:t>
      </w:r>
      <w:proofErr w:type="spellStart"/>
      <w:r w:rsidRPr="00814497">
        <w:rPr>
          <w:rFonts w:ascii="Arial" w:hAnsi="Arial" w:cs="Arial"/>
        </w:rPr>
        <w:t>Wójcicki</w:t>
      </w:r>
      <w:proofErr w:type="spellEnd"/>
      <w:r w:rsidRPr="00814497">
        <w:rPr>
          <w:rFonts w:ascii="Arial" w:hAnsi="Arial" w:cs="Arial"/>
        </w:rPr>
        <w:t xml:space="preserve">, T. R., McAuley, E., &amp; Kramer, A. F. (2009). Aerobic fitness is associated with hippocampal volume in elderly humans. </w:t>
      </w:r>
      <w:r w:rsidRPr="00814497">
        <w:rPr>
          <w:rFonts w:ascii="Arial" w:hAnsi="Arial" w:cs="Arial"/>
          <w:i/>
          <w:iCs/>
        </w:rPr>
        <w:t>Hippocampus</w:t>
      </w:r>
      <w:r w:rsidRPr="00814497">
        <w:rPr>
          <w:rFonts w:ascii="Arial" w:hAnsi="Arial" w:cs="Arial"/>
        </w:rPr>
        <w:t xml:space="preserve">, 19(10), 1030–1039. </w:t>
      </w:r>
      <w:hyperlink r:id="rId20" w:history="1">
        <w:r w:rsidRPr="00D12E29">
          <w:rPr>
            <w:rStyle w:val="Hyperlink"/>
            <w:rFonts w:ascii="Arial" w:hAnsi="Arial" w:cs="Arial"/>
          </w:rPr>
          <w:t>https://doi.org/10.1002/hipo.20547</w:t>
        </w:r>
      </w:hyperlink>
    </w:p>
    <w:p w14:paraId="4805BCA2" w14:textId="20977012" w:rsidR="00814497" w:rsidRDefault="00814497" w:rsidP="00814497">
      <w:pPr>
        <w:spacing w:line="360" w:lineRule="auto"/>
        <w:jc w:val="both"/>
        <w:rPr>
          <w:rFonts w:ascii="Arial" w:hAnsi="Arial" w:cs="Arial"/>
          <w:lang w:val="de-DE"/>
        </w:rPr>
      </w:pPr>
      <w:r w:rsidRPr="00814497">
        <w:rPr>
          <w:rFonts w:ascii="Arial" w:hAnsi="Arial" w:cs="Arial"/>
        </w:rPr>
        <w:lastRenderedPageBreak/>
        <w:t xml:space="preserve">Fardell, J. E., Vetsch, J., </w:t>
      </w:r>
      <w:proofErr w:type="spellStart"/>
      <w:r w:rsidRPr="00814497">
        <w:rPr>
          <w:rFonts w:ascii="Arial" w:hAnsi="Arial" w:cs="Arial"/>
        </w:rPr>
        <w:t>Trahair</w:t>
      </w:r>
      <w:proofErr w:type="spellEnd"/>
      <w:r w:rsidRPr="00814497">
        <w:rPr>
          <w:rFonts w:ascii="Arial" w:hAnsi="Arial" w:cs="Arial"/>
        </w:rPr>
        <w:t xml:space="preserve">, T., Mateos, M. K., </w:t>
      </w:r>
      <w:proofErr w:type="spellStart"/>
      <w:r w:rsidRPr="00814497">
        <w:rPr>
          <w:rFonts w:ascii="Arial" w:hAnsi="Arial" w:cs="Arial"/>
        </w:rPr>
        <w:t>Grootenhuis</w:t>
      </w:r>
      <w:proofErr w:type="spellEnd"/>
      <w:r w:rsidRPr="00814497">
        <w:rPr>
          <w:rFonts w:ascii="Arial" w:hAnsi="Arial" w:cs="Arial"/>
        </w:rPr>
        <w:t xml:space="preserve">, M. A., </w:t>
      </w:r>
      <w:proofErr w:type="spellStart"/>
      <w:r w:rsidRPr="00814497">
        <w:rPr>
          <w:rFonts w:ascii="Arial" w:hAnsi="Arial" w:cs="Arial"/>
        </w:rPr>
        <w:t>Touyz</w:t>
      </w:r>
      <w:proofErr w:type="spellEnd"/>
      <w:r w:rsidRPr="00814497">
        <w:rPr>
          <w:rFonts w:ascii="Arial" w:hAnsi="Arial" w:cs="Arial"/>
        </w:rPr>
        <w:t xml:space="preserve">, L. M., Marshall, G. M., &amp; Wakefield, C. E. (2017). Health-related quality of life of children on treatment for acute lymphoblastic leukemia: A systematic review: Fardell et al. </w:t>
      </w:r>
      <w:r w:rsidRPr="00A77B59">
        <w:rPr>
          <w:rFonts w:ascii="Arial" w:hAnsi="Arial" w:cs="Arial"/>
          <w:i/>
          <w:iCs/>
          <w:lang w:val="de-DE"/>
        </w:rPr>
        <w:t>Pediatric Blood &amp; Cancer</w:t>
      </w:r>
      <w:r w:rsidRPr="00814497">
        <w:rPr>
          <w:rFonts w:ascii="Arial" w:hAnsi="Arial" w:cs="Arial"/>
          <w:lang w:val="de-DE"/>
        </w:rPr>
        <w:t xml:space="preserve">, 64(9), e26489. </w:t>
      </w:r>
      <w:r>
        <w:rPr>
          <w:rFonts w:ascii="Arial" w:hAnsi="Arial" w:cs="Arial"/>
          <w:lang w:val="de-DE"/>
        </w:rPr>
        <w:fldChar w:fldCharType="begin"/>
      </w:r>
      <w:r>
        <w:rPr>
          <w:rFonts w:ascii="Arial" w:hAnsi="Arial" w:cs="Arial"/>
          <w:lang w:val="de-DE"/>
        </w:rPr>
        <w:instrText>HYPERLINK "</w:instrText>
      </w:r>
      <w:r w:rsidRPr="00814497">
        <w:rPr>
          <w:rFonts w:ascii="Arial" w:hAnsi="Arial" w:cs="Arial"/>
          <w:lang w:val="de-DE"/>
        </w:rPr>
        <w:instrText>https://doi.org/10.1002/pbc.26489</w:instrText>
      </w:r>
      <w:r>
        <w:rPr>
          <w:rFonts w:ascii="Arial" w:hAnsi="Arial" w:cs="Arial"/>
          <w:lang w:val="de-DE"/>
        </w:rPr>
        <w:instrText>"</w:instrText>
      </w:r>
      <w:r>
        <w:rPr>
          <w:rFonts w:ascii="Arial" w:hAnsi="Arial" w:cs="Arial"/>
          <w:lang w:val="de-DE"/>
        </w:rPr>
      </w:r>
      <w:r>
        <w:rPr>
          <w:rFonts w:ascii="Arial" w:hAnsi="Arial" w:cs="Arial"/>
          <w:lang w:val="de-DE"/>
        </w:rPr>
        <w:fldChar w:fldCharType="separate"/>
      </w:r>
      <w:r w:rsidRPr="00D12E29">
        <w:rPr>
          <w:rStyle w:val="Hyperlink"/>
          <w:rFonts w:ascii="Arial" w:hAnsi="Arial" w:cs="Arial"/>
          <w:lang w:val="de-DE"/>
        </w:rPr>
        <w:t>https://doi.org/10.1002/pbc.26489</w:t>
      </w:r>
      <w:r>
        <w:rPr>
          <w:rFonts w:ascii="Arial" w:hAnsi="Arial" w:cs="Arial"/>
          <w:lang w:val="de-DE"/>
        </w:rPr>
        <w:fldChar w:fldCharType="end"/>
      </w:r>
    </w:p>
    <w:p w14:paraId="2577132A" w14:textId="22CB3B24" w:rsidR="00814497" w:rsidRDefault="00814497" w:rsidP="00814497">
      <w:pPr>
        <w:spacing w:line="360" w:lineRule="auto"/>
        <w:jc w:val="both"/>
        <w:rPr>
          <w:rFonts w:ascii="Arial" w:hAnsi="Arial" w:cs="Arial"/>
        </w:rPr>
      </w:pPr>
      <w:r w:rsidRPr="00814497">
        <w:rPr>
          <w:rFonts w:ascii="Arial" w:hAnsi="Arial" w:cs="Arial"/>
          <w:lang w:val="de-DE"/>
        </w:rPr>
        <w:t xml:space="preserve">Gökbuget, N., Stanze, D., Beck, J., Diedrich, H., Horst, H.-A., Hüttmann, A., Kobbe, G., Kreuzer, K.-A., Leimer, L., Reichle, A., Schaich, M., Schwartz, S., Serve, H., Starck, M., Stelljes, M., Stuhlmann, R., Viardot, A., Wendelin, K., Freund, M., … </w:t>
      </w:r>
      <w:r w:rsidRPr="00814497">
        <w:rPr>
          <w:rFonts w:ascii="Arial" w:hAnsi="Arial" w:cs="Arial"/>
        </w:rPr>
        <w:t xml:space="preserve">German Multicenter Study Group for Adult Acute Lymphoblastic Leukemia. (2012). Outcome of relapsed adult lymphoblastic leukemia depends on response to salvage chemotherapy, prognostic factors, and performance of stem cell transplantation. </w:t>
      </w:r>
      <w:r w:rsidRPr="00A77B59">
        <w:rPr>
          <w:rFonts w:ascii="Arial" w:hAnsi="Arial" w:cs="Arial"/>
          <w:i/>
          <w:iCs/>
        </w:rPr>
        <w:t>Blood</w:t>
      </w:r>
      <w:r w:rsidRPr="00814497">
        <w:rPr>
          <w:rFonts w:ascii="Arial" w:hAnsi="Arial" w:cs="Arial"/>
        </w:rPr>
        <w:t xml:space="preserve">, 120(10), 2032–2041. </w:t>
      </w:r>
      <w:hyperlink r:id="rId21" w:history="1">
        <w:r w:rsidR="00A77B59" w:rsidRPr="00D12E29">
          <w:rPr>
            <w:rStyle w:val="Hyperlink"/>
            <w:rFonts w:ascii="Arial" w:hAnsi="Arial" w:cs="Arial"/>
          </w:rPr>
          <w:t>https://doi.org/10.1182/blood-2011-12-399287</w:t>
        </w:r>
      </w:hyperlink>
    </w:p>
    <w:p w14:paraId="7E202800" w14:textId="6799C854" w:rsidR="00814497" w:rsidRPr="00A77B59" w:rsidRDefault="00814497" w:rsidP="00814497">
      <w:pPr>
        <w:spacing w:line="360" w:lineRule="auto"/>
        <w:jc w:val="both"/>
        <w:rPr>
          <w:rFonts w:ascii="Arial" w:hAnsi="Arial" w:cs="Arial"/>
          <w:lang w:val="de-DE"/>
        </w:rPr>
      </w:pPr>
      <w:r w:rsidRPr="00814497">
        <w:rPr>
          <w:rFonts w:ascii="Arial" w:hAnsi="Arial" w:cs="Arial"/>
        </w:rPr>
        <w:t xml:space="preserve">Gómez-Almaguer, D., Marcos-Ramírez, E. R., Montaño-Figueroa, E. H., Ruiz-Argüelles, G. J., Best-Aguilera, C. R., López-Sánchez, M. D. C., Barrera-Chairez, E., López-Arrollo, J. L., Ramos-Peñafiel, C. O., León-Peña, A., González-López, E. E., Rivas-García, P. E., Tellez-Hinojosa, C. A., Gómez-De León, A., &amp; Jaime-Pérez, J. C. (2017). Acute leukemia characteristics are different around the world: The Mexican perspective. </w:t>
      </w:r>
      <w:proofErr w:type="spellStart"/>
      <w:r w:rsidRPr="00A77B59">
        <w:rPr>
          <w:rFonts w:ascii="Arial" w:hAnsi="Arial" w:cs="Arial"/>
          <w:i/>
          <w:iCs/>
          <w:lang w:val="es-MX"/>
        </w:rPr>
        <w:t>Clinical</w:t>
      </w:r>
      <w:proofErr w:type="spellEnd"/>
      <w:r w:rsidRPr="00A77B59">
        <w:rPr>
          <w:rFonts w:ascii="Arial" w:hAnsi="Arial" w:cs="Arial"/>
          <w:i/>
          <w:iCs/>
          <w:lang w:val="es-MX"/>
        </w:rPr>
        <w:t xml:space="preserve"> </w:t>
      </w:r>
      <w:proofErr w:type="spellStart"/>
      <w:r w:rsidRPr="00A77B59">
        <w:rPr>
          <w:rFonts w:ascii="Arial" w:hAnsi="Arial" w:cs="Arial"/>
          <w:i/>
          <w:iCs/>
          <w:lang w:val="es-MX"/>
        </w:rPr>
        <w:t>Lymphoma</w:t>
      </w:r>
      <w:proofErr w:type="spellEnd"/>
      <w:r w:rsidRPr="00A77B59">
        <w:rPr>
          <w:rFonts w:ascii="Arial" w:hAnsi="Arial" w:cs="Arial"/>
          <w:i/>
          <w:iCs/>
          <w:lang w:val="es-MX"/>
        </w:rPr>
        <w:t xml:space="preserve">, </w:t>
      </w:r>
      <w:proofErr w:type="spellStart"/>
      <w:r w:rsidRPr="00A77B59">
        <w:rPr>
          <w:rFonts w:ascii="Arial" w:hAnsi="Arial" w:cs="Arial"/>
          <w:i/>
          <w:iCs/>
          <w:lang w:val="es-MX"/>
        </w:rPr>
        <w:t>Myeloma</w:t>
      </w:r>
      <w:proofErr w:type="spellEnd"/>
      <w:r w:rsidRPr="00A77B59">
        <w:rPr>
          <w:rFonts w:ascii="Arial" w:hAnsi="Arial" w:cs="Arial"/>
          <w:i/>
          <w:iCs/>
          <w:lang w:val="es-MX"/>
        </w:rPr>
        <w:t xml:space="preserve"> &amp; </w:t>
      </w:r>
      <w:proofErr w:type="spellStart"/>
      <w:r w:rsidRPr="00A77B59">
        <w:rPr>
          <w:rFonts w:ascii="Arial" w:hAnsi="Arial" w:cs="Arial"/>
          <w:i/>
          <w:iCs/>
          <w:lang w:val="es-MX"/>
        </w:rPr>
        <w:t>Leukemia</w:t>
      </w:r>
      <w:proofErr w:type="spellEnd"/>
      <w:r w:rsidRPr="00A77B59">
        <w:rPr>
          <w:rFonts w:ascii="Arial" w:hAnsi="Arial" w:cs="Arial"/>
          <w:i/>
          <w:iCs/>
          <w:lang w:val="es-MX"/>
        </w:rPr>
        <w:t>,</w:t>
      </w:r>
      <w:r w:rsidRPr="00814497">
        <w:rPr>
          <w:rFonts w:ascii="Arial" w:hAnsi="Arial" w:cs="Arial"/>
          <w:lang w:val="es-MX"/>
        </w:rPr>
        <w:t xml:space="preserve"> 17(1), 46–51. </w:t>
      </w:r>
      <w:hyperlink r:id="rId22" w:history="1">
        <w:r w:rsidR="00A77B59" w:rsidRPr="00A77B59">
          <w:rPr>
            <w:rStyle w:val="Hyperlink"/>
            <w:rFonts w:ascii="Arial" w:hAnsi="Arial" w:cs="Arial"/>
            <w:lang w:val="de-DE"/>
          </w:rPr>
          <w:t>https://doi.org/10.1016/j.clml.2016.09.003</w:t>
        </w:r>
      </w:hyperlink>
    </w:p>
    <w:p w14:paraId="39D10519" w14:textId="4A3F74E9" w:rsidR="00814497" w:rsidRDefault="00814497" w:rsidP="00814497">
      <w:pPr>
        <w:spacing w:line="360" w:lineRule="auto"/>
        <w:jc w:val="both"/>
        <w:rPr>
          <w:rFonts w:ascii="Arial" w:hAnsi="Arial" w:cs="Arial"/>
          <w:lang w:val="de-DE"/>
        </w:rPr>
      </w:pPr>
      <w:r w:rsidRPr="00A77B59">
        <w:rPr>
          <w:rFonts w:ascii="Arial" w:hAnsi="Arial" w:cs="Arial"/>
          <w:lang w:val="de-DE"/>
        </w:rPr>
        <w:t xml:space="preserve">Gujral, S., Aizenstein, H., Reynolds, C. F., 3rd, Butters, M. A., &amp; Erickson, K. I. (2017). </w:t>
      </w:r>
      <w:r w:rsidRPr="00612AC8">
        <w:rPr>
          <w:rFonts w:ascii="Arial" w:hAnsi="Arial" w:cs="Arial"/>
          <w:lang w:val="de-DE"/>
        </w:rPr>
        <w:t xml:space="preserve">Exercise effects on depression: Possible neural mechanisms. </w:t>
      </w:r>
      <w:r w:rsidRPr="00A77B59">
        <w:rPr>
          <w:rFonts w:ascii="Arial" w:hAnsi="Arial" w:cs="Arial"/>
          <w:i/>
          <w:iCs/>
          <w:lang w:val="de-DE"/>
        </w:rPr>
        <w:t>General Hospital Psychiatry</w:t>
      </w:r>
      <w:r w:rsidRPr="00814497">
        <w:rPr>
          <w:rFonts w:ascii="Arial" w:hAnsi="Arial" w:cs="Arial"/>
          <w:lang w:val="de-DE"/>
        </w:rPr>
        <w:t xml:space="preserve">, 49, 2–10. </w:t>
      </w:r>
      <w:r w:rsidR="00A77B59">
        <w:rPr>
          <w:rFonts w:ascii="Arial" w:hAnsi="Arial" w:cs="Arial"/>
          <w:lang w:val="de-DE"/>
        </w:rPr>
        <w:fldChar w:fldCharType="begin"/>
      </w:r>
      <w:r w:rsidR="00A77B59">
        <w:rPr>
          <w:rFonts w:ascii="Arial" w:hAnsi="Arial" w:cs="Arial"/>
          <w:lang w:val="de-DE"/>
        </w:rPr>
        <w:instrText>HYPERLINK "</w:instrText>
      </w:r>
      <w:r w:rsidR="00A77B59" w:rsidRPr="00814497">
        <w:rPr>
          <w:rFonts w:ascii="Arial" w:hAnsi="Arial" w:cs="Arial"/>
          <w:lang w:val="de-DE"/>
        </w:rPr>
        <w:instrText>https://doi.org/10.1016/j.genhosppsych.2017.04.012</w:instrText>
      </w:r>
      <w:r w:rsidR="00A77B59">
        <w:rPr>
          <w:rFonts w:ascii="Arial" w:hAnsi="Arial" w:cs="Arial"/>
          <w:lang w:val="de-DE"/>
        </w:rPr>
        <w:instrText>"</w:instrText>
      </w:r>
      <w:r w:rsidR="00A77B59">
        <w:rPr>
          <w:rFonts w:ascii="Arial" w:hAnsi="Arial" w:cs="Arial"/>
          <w:lang w:val="de-DE"/>
        </w:rPr>
      </w:r>
      <w:r w:rsidR="00A77B59">
        <w:rPr>
          <w:rFonts w:ascii="Arial" w:hAnsi="Arial" w:cs="Arial"/>
          <w:lang w:val="de-DE"/>
        </w:rPr>
        <w:fldChar w:fldCharType="separate"/>
      </w:r>
      <w:r w:rsidR="00A77B59" w:rsidRPr="00D12E29">
        <w:rPr>
          <w:rStyle w:val="Hyperlink"/>
          <w:rFonts w:ascii="Arial" w:hAnsi="Arial" w:cs="Arial"/>
          <w:lang w:val="de-DE"/>
        </w:rPr>
        <w:t>https://doi.org/10.1016/j.genhosppsych.2017.04.012</w:t>
      </w:r>
      <w:r w:rsidR="00A77B59">
        <w:rPr>
          <w:rFonts w:ascii="Arial" w:hAnsi="Arial" w:cs="Arial"/>
          <w:lang w:val="de-DE"/>
        </w:rPr>
        <w:fldChar w:fldCharType="end"/>
      </w:r>
    </w:p>
    <w:p w14:paraId="636EF7CC" w14:textId="61ECEFEF" w:rsidR="00814497" w:rsidRDefault="00814497" w:rsidP="00814497">
      <w:pPr>
        <w:spacing w:line="360" w:lineRule="auto"/>
        <w:jc w:val="both"/>
        <w:rPr>
          <w:rFonts w:ascii="Arial" w:hAnsi="Arial" w:cs="Arial"/>
        </w:rPr>
      </w:pPr>
      <w:r w:rsidRPr="00814497">
        <w:rPr>
          <w:rFonts w:ascii="Arial" w:hAnsi="Arial" w:cs="Arial"/>
          <w:lang w:val="de-DE"/>
        </w:rPr>
        <w:t xml:space="preserve">Hilfiker, R., Meichtry, A., Eicher, M., Nilsson Balfe, L., Knols, R. H., Verra, M. L., &amp; Taeymans, J. (2018). </w:t>
      </w:r>
      <w:r w:rsidRPr="00814497">
        <w:rPr>
          <w:rFonts w:ascii="Arial" w:hAnsi="Arial" w:cs="Arial"/>
        </w:rPr>
        <w:t xml:space="preserve">Exercise and other non-pharmaceutical interventions for cancer-related fatigue in patients during or after cancer treatment: a systematic review incorporating an indirect-comparisons meta-analysis. </w:t>
      </w:r>
      <w:r w:rsidRPr="00A77B59">
        <w:rPr>
          <w:rFonts w:ascii="Arial" w:hAnsi="Arial" w:cs="Arial"/>
          <w:i/>
          <w:iCs/>
        </w:rPr>
        <w:t>British Journal of Sports Medicine</w:t>
      </w:r>
      <w:r w:rsidRPr="00814497">
        <w:rPr>
          <w:rFonts w:ascii="Arial" w:hAnsi="Arial" w:cs="Arial"/>
        </w:rPr>
        <w:t xml:space="preserve">, 52(10), 651–658. </w:t>
      </w:r>
      <w:hyperlink r:id="rId23" w:history="1">
        <w:r w:rsidR="00A77B59" w:rsidRPr="00D12E29">
          <w:rPr>
            <w:rStyle w:val="Hyperlink"/>
            <w:rFonts w:ascii="Arial" w:hAnsi="Arial" w:cs="Arial"/>
          </w:rPr>
          <w:t>https://doi.org/10.1136/bjsports-2016-096422</w:t>
        </w:r>
      </w:hyperlink>
    </w:p>
    <w:p w14:paraId="747382C2" w14:textId="6D726F44" w:rsidR="00814497" w:rsidRPr="00612AC8" w:rsidRDefault="00814497" w:rsidP="00814497">
      <w:pPr>
        <w:spacing w:line="360" w:lineRule="auto"/>
        <w:jc w:val="both"/>
        <w:rPr>
          <w:rFonts w:ascii="Arial" w:hAnsi="Arial" w:cs="Arial"/>
        </w:rPr>
      </w:pPr>
      <w:r w:rsidRPr="00814497">
        <w:rPr>
          <w:rFonts w:ascii="Arial" w:hAnsi="Arial" w:cs="Arial"/>
        </w:rPr>
        <w:t xml:space="preserve">Ioannou, L. G., Tsoutsoubi, L., </w:t>
      </w:r>
      <w:proofErr w:type="spellStart"/>
      <w:r w:rsidRPr="00814497">
        <w:rPr>
          <w:rFonts w:ascii="Arial" w:hAnsi="Arial" w:cs="Arial"/>
        </w:rPr>
        <w:t>Gkiata</w:t>
      </w:r>
      <w:proofErr w:type="spellEnd"/>
      <w:r w:rsidRPr="00814497">
        <w:rPr>
          <w:rFonts w:ascii="Arial" w:hAnsi="Arial" w:cs="Arial"/>
        </w:rPr>
        <w:t xml:space="preserve">, P., Brown, H. A., Periard, J. D., </w:t>
      </w:r>
      <w:proofErr w:type="spellStart"/>
      <w:r w:rsidRPr="00814497">
        <w:rPr>
          <w:rFonts w:ascii="Arial" w:hAnsi="Arial" w:cs="Arial"/>
        </w:rPr>
        <w:t>Mekjavic</w:t>
      </w:r>
      <w:proofErr w:type="spellEnd"/>
      <w:r w:rsidRPr="00814497">
        <w:rPr>
          <w:rFonts w:ascii="Arial" w:hAnsi="Arial" w:cs="Arial"/>
        </w:rPr>
        <w:t xml:space="preserve">, I. B., Kenny, G. P., Nybo, L., &amp; </w:t>
      </w:r>
      <w:proofErr w:type="spellStart"/>
      <w:r w:rsidRPr="00814497">
        <w:rPr>
          <w:rFonts w:ascii="Arial" w:hAnsi="Arial" w:cs="Arial"/>
        </w:rPr>
        <w:t>Flouris</w:t>
      </w:r>
      <w:proofErr w:type="spellEnd"/>
      <w:r w:rsidRPr="00814497">
        <w:rPr>
          <w:rFonts w:ascii="Arial" w:hAnsi="Arial" w:cs="Arial"/>
        </w:rPr>
        <w:t xml:space="preserve">, A. D. (2024). Effect of sportswear on performance and physiological heat strain during prolonged running in moderately hot conditions. </w:t>
      </w:r>
      <w:r w:rsidRPr="00814497">
        <w:rPr>
          <w:rFonts w:ascii="Arial" w:hAnsi="Arial" w:cs="Arial"/>
        </w:rPr>
        <w:lastRenderedPageBreak/>
        <w:t xml:space="preserve">Scandinavian </w:t>
      </w:r>
      <w:r w:rsidRPr="00A77B59">
        <w:rPr>
          <w:rFonts w:ascii="Arial" w:hAnsi="Arial" w:cs="Arial"/>
          <w:i/>
          <w:iCs/>
        </w:rPr>
        <w:t>Journal of Medicine &amp; Science in Sports</w:t>
      </w:r>
      <w:r w:rsidRPr="00814497">
        <w:rPr>
          <w:rFonts w:ascii="Arial" w:hAnsi="Arial" w:cs="Arial"/>
        </w:rPr>
        <w:t xml:space="preserve">, 34(1), e14520. </w:t>
      </w:r>
      <w:hyperlink r:id="rId24" w:history="1">
        <w:r w:rsidR="00A77B59" w:rsidRPr="00612AC8">
          <w:rPr>
            <w:rStyle w:val="Hyperlink"/>
            <w:rFonts w:ascii="Arial" w:hAnsi="Arial" w:cs="Arial"/>
          </w:rPr>
          <w:t>https://doi.org/10.1111/sms.14520</w:t>
        </w:r>
      </w:hyperlink>
    </w:p>
    <w:p w14:paraId="1B8E9AD0" w14:textId="106DAB3B" w:rsidR="00A77B59" w:rsidRDefault="00814497" w:rsidP="00814497">
      <w:pPr>
        <w:spacing w:line="360" w:lineRule="auto"/>
        <w:jc w:val="both"/>
        <w:rPr>
          <w:rFonts w:ascii="Arial" w:hAnsi="Arial" w:cs="Arial"/>
        </w:rPr>
      </w:pPr>
      <w:r w:rsidRPr="00814497">
        <w:rPr>
          <w:rFonts w:ascii="Arial" w:hAnsi="Arial" w:cs="Arial"/>
          <w:lang w:val="de-DE"/>
        </w:rPr>
        <w:t xml:space="preserve">Jarden, M., Møller, T., Kjeldsen, L., Birgens, H., Christensen, J. F., Bang Christensen, K., Diderichsen, F., Hendriksen, C., &amp; Adamsen, L. (2013). </w:t>
      </w:r>
      <w:r w:rsidRPr="00814497">
        <w:rPr>
          <w:rFonts w:ascii="Arial" w:hAnsi="Arial" w:cs="Arial"/>
        </w:rPr>
        <w:t>Patient Activation through Counseling and Exercise--Acute Leukemia (PACE-</w:t>
      </w:r>
      <w:proofErr w:type="gramStart"/>
      <w:r w:rsidRPr="00814497">
        <w:rPr>
          <w:rFonts w:ascii="Arial" w:hAnsi="Arial" w:cs="Arial"/>
        </w:rPr>
        <w:t>AL)--</w:t>
      </w:r>
      <w:proofErr w:type="gramEnd"/>
      <w:r w:rsidRPr="00814497">
        <w:rPr>
          <w:rFonts w:ascii="Arial" w:hAnsi="Arial" w:cs="Arial"/>
        </w:rPr>
        <w:t xml:space="preserve">a randomized controlled trial. </w:t>
      </w:r>
      <w:r w:rsidRPr="00A77B59">
        <w:rPr>
          <w:rFonts w:ascii="Arial" w:hAnsi="Arial" w:cs="Arial"/>
          <w:i/>
          <w:iCs/>
        </w:rPr>
        <w:t>BMC Cancer</w:t>
      </w:r>
      <w:r w:rsidRPr="00814497">
        <w:rPr>
          <w:rFonts w:ascii="Arial" w:hAnsi="Arial" w:cs="Arial"/>
        </w:rPr>
        <w:t xml:space="preserve">, 13, 446. </w:t>
      </w:r>
      <w:hyperlink r:id="rId25" w:history="1">
        <w:r w:rsidR="00A77B59" w:rsidRPr="00D12E29">
          <w:rPr>
            <w:rStyle w:val="Hyperlink"/>
            <w:rFonts w:ascii="Arial" w:hAnsi="Arial" w:cs="Arial"/>
          </w:rPr>
          <w:t>https://doi.org/10.1186/1471-2407-13-446</w:t>
        </w:r>
      </w:hyperlink>
    </w:p>
    <w:p w14:paraId="2BD4C6D4" w14:textId="623548F1" w:rsidR="00814497" w:rsidRDefault="00814497" w:rsidP="00814497">
      <w:pPr>
        <w:spacing w:line="360" w:lineRule="auto"/>
        <w:jc w:val="both"/>
        <w:rPr>
          <w:rFonts w:ascii="Arial" w:hAnsi="Arial" w:cs="Arial"/>
        </w:rPr>
      </w:pPr>
      <w:proofErr w:type="spellStart"/>
      <w:r w:rsidRPr="00814497">
        <w:rPr>
          <w:rFonts w:ascii="Arial" w:hAnsi="Arial" w:cs="Arial"/>
        </w:rPr>
        <w:t>Kolcaba</w:t>
      </w:r>
      <w:proofErr w:type="spellEnd"/>
      <w:r w:rsidRPr="00814497">
        <w:rPr>
          <w:rFonts w:ascii="Arial" w:hAnsi="Arial" w:cs="Arial"/>
        </w:rPr>
        <w:t xml:space="preserve">, K. Y. (1994). A theory of holistic comfort for nursing. </w:t>
      </w:r>
      <w:r w:rsidRPr="00A77B59">
        <w:rPr>
          <w:rFonts w:ascii="Arial" w:hAnsi="Arial" w:cs="Arial"/>
          <w:i/>
          <w:iCs/>
        </w:rPr>
        <w:t>Journal of Advanced Nursing</w:t>
      </w:r>
      <w:r w:rsidRPr="00814497">
        <w:rPr>
          <w:rFonts w:ascii="Arial" w:hAnsi="Arial" w:cs="Arial"/>
        </w:rPr>
        <w:t xml:space="preserve">, 19(6), 1178–1184. </w:t>
      </w:r>
      <w:hyperlink r:id="rId26" w:history="1">
        <w:r w:rsidR="00A77B59" w:rsidRPr="00D12E29">
          <w:rPr>
            <w:rStyle w:val="Hyperlink"/>
            <w:rFonts w:ascii="Arial" w:hAnsi="Arial" w:cs="Arial"/>
          </w:rPr>
          <w:t>https://doi.org/10.1111/j.1365-2648.1994.tb01202.x</w:t>
        </w:r>
      </w:hyperlink>
    </w:p>
    <w:p w14:paraId="5B829516" w14:textId="160376CE" w:rsidR="00814497" w:rsidRDefault="00814497" w:rsidP="00814497">
      <w:pPr>
        <w:spacing w:line="360" w:lineRule="auto"/>
        <w:jc w:val="both"/>
        <w:rPr>
          <w:rFonts w:ascii="Arial" w:hAnsi="Arial" w:cs="Arial"/>
        </w:rPr>
      </w:pPr>
      <w:r w:rsidRPr="00814497">
        <w:rPr>
          <w:rFonts w:ascii="Arial" w:hAnsi="Arial" w:cs="Arial"/>
        </w:rPr>
        <w:t xml:space="preserve">Li, J., Aulakh, N., </w:t>
      </w:r>
      <w:proofErr w:type="spellStart"/>
      <w:r w:rsidRPr="00814497">
        <w:rPr>
          <w:rFonts w:ascii="Arial" w:hAnsi="Arial" w:cs="Arial"/>
        </w:rPr>
        <w:t>Culum</w:t>
      </w:r>
      <w:proofErr w:type="spellEnd"/>
      <w:r w:rsidRPr="00814497">
        <w:rPr>
          <w:rFonts w:ascii="Arial" w:hAnsi="Arial" w:cs="Arial"/>
        </w:rPr>
        <w:t xml:space="preserve">, I., &amp; Roberts, A. C. (2024). Adherence to non-pharmacological interventions in Parkinson’s disease: A rapid evidence assessment of the literature. </w:t>
      </w:r>
      <w:r w:rsidRPr="00A77B59">
        <w:rPr>
          <w:rFonts w:ascii="Arial" w:hAnsi="Arial" w:cs="Arial"/>
          <w:i/>
          <w:iCs/>
        </w:rPr>
        <w:t>Journal of Parkinson’s Disease</w:t>
      </w:r>
      <w:r w:rsidRPr="00814497">
        <w:rPr>
          <w:rFonts w:ascii="Arial" w:hAnsi="Arial" w:cs="Arial"/>
        </w:rPr>
        <w:t xml:space="preserve">, 14(s1), S35–S52. </w:t>
      </w:r>
      <w:hyperlink r:id="rId27" w:history="1">
        <w:r w:rsidR="00A77B59" w:rsidRPr="00D12E29">
          <w:rPr>
            <w:rStyle w:val="Hyperlink"/>
            <w:rFonts w:ascii="Arial" w:hAnsi="Arial" w:cs="Arial"/>
          </w:rPr>
          <w:t>https://doi.org/10.3233/JPD-230266</w:t>
        </w:r>
      </w:hyperlink>
    </w:p>
    <w:p w14:paraId="4F74FC7C" w14:textId="2AC8130E" w:rsidR="00814497" w:rsidRDefault="00814497" w:rsidP="00814497">
      <w:pPr>
        <w:spacing w:line="360" w:lineRule="auto"/>
        <w:jc w:val="both"/>
        <w:rPr>
          <w:rFonts w:ascii="Arial" w:hAnsi="Arial" w:cs="Arial"/>
        </w:rPr>
      </w:pPr>
      <w:r w:rsidRPr="00814497">
        <w:rPr>
          <w:rFonts w:ascii="Arial" w:hAnsi="Arial" w:cs="Arial"/>
        </w:rPr>
        <w:t xml:space="preserve">Mathiesen, A. S., Zoffmann, V., Lindschou, </w:t>
      </w:r>
      <w:proofErr w:type="gramStart"/>
      <w:r w:rsidRPr="00814497">
        <w:rPr>
          <w:rFonts w:ascii="Arial" w:hAnsi="Arial" w:cs="Arial"/>
        </w:rPr>
        <w:t>J.,</w:t>
      </w:r>
      <w:proofErr w:type="gramEnd"/>
      <w:r w:rsidRPr="00814497">
        <w:rPr>
          <w:rFonts w:ascii="Arial" w:hAnsi="Arial" w:cs="Arial"/>
        </w:rPr>
        <w:t xml:space="preserve"> Jakobsen, J. C., Gluud, C., Due-Christensen, M., Rasmussen, B., Marqvorsen, E. H. S., Lund-Jacobsen, T., Skytte, T. B., Thomsen, T., &amp; Rothmann, M. J. (2023). Self-determination theory interventions versus usual care in people with diabetes: a systematic review with meta-analysis and trial sequential analysis. </w:t>
      </w:r>
      <w:r w:rsidRPr="00A77B59">
        <w:rPr>
          <w:rFonts w:ascii="Arial" w:hAnsi="Arial" w:cs="Arial"/>
          <w:i/>
          <w:iCs/>
        </w:rPr>
        <w:t>Systematic Reviews</w:t>
      </w:r>
      <w:r w:rsidRPr="00814497">
        <w:rPr>
          <w:rFonts w:ascii="Arial" w:hAnsi="Arial" w:cs="Arial"/>
        </w:rPr>
        <w:t xml:space="preserve">, 12(1), 158. </w:t>
      </w:r>
      <w:hyperlink r:id="rId28" w:history="1">
        <w:r w:rsidR="00A77B59" w:rsidRPr="00D12E29">
          <w:rPr>
            <w:rStyle w:val="Hyperlink"/>
            <w:rFonts w:ascii="Arial" w:hAnsi="Arial" w:cs="Arial"/>
          </w:rPr>
          <w:t>https://doi.org/10.1186/s13643-023-02308-z</w:t>
        </w:r>
      </w:hyperlink>
    </w:p>
    <w:p w14:paraId="427F81DB" w14:textId="4AFCC60B" w:rsidR="00814497" w:rsidRDefault="00814497" w:rsidP="00814497">
      <w:pPr>
        <w:spacing w:line="360" w:lineRule="auto"/>
        <w:jc w:val="both"/>
        <w:rPr>
          <w:rFonts w:ascii="Arial" w:hAnsi="Arial" w:cs="Arial"/>
        </w:rPr>
      </w:pPr>
      <w:r w:rsidRPr="00814497">
        <w:rPr>
          <w:rFonts w:ascii="Arial" w:hAnsi="Arial" w:cs="Arial"/>
        </w:rPr>
        <w:t xml:space="preserve">Mitchell, G. J., &amp; Pilkington, F. B. (2000). Comfort-discomfort with ambiguity: flight and freedom in nursing practice. </w:t>
      </w:r>
      <w:r w:rsidRPr="00A77B59">
        <w:rPr>
          <w:rFonts w:ascii="Arial" w:hAnsi="Arial" w:cs="Arial"/>
          <w:i/>
          <w:iCs/>
        </w:rPr>
        <w:t>Nursing Science Quarterly</w:t>
      </w:r>
      <w:r w:rsidRPr="00814497">
        <w:rPr>
          <w:rFonts w:ascii="Arial" w:hAnsi="Arial" w:cs="Arial"/>
        </w:rPr>
        <w:t xml:space="preserve">, 13(1), 31–36. </w:t>
      </w:r>
      <w:hyperlink r:id="rId29" w:history="1">
        <w:r w:rsidR="00A77B59" w:rsidRPr="00D12E29">
          <w:rPr>
            <w:rStyle w:val="Hyperlink"/>
            <w:rFonts w:ascii="Arial" w:hAnsi="Arial" w:cs="Arial"/>
          </w:rPr>
          <w:t>https://doi.org/10.1177/08943180022107249</w:t>
        </w:r>
      </w:hyperlink>
    </w:p>
    <w:p w14:paraId="44F6BEA7" w14:textId="20B5D8F9" w:rsidR="00814497" w:rsidRDefault="00814497" w:rsidP="00814497">
      <w:pPr>
        <w:spacing w:line="360" w:lineRule="auto"/>
        <w:jc w:val="both"/>
        <w:rPr>
          <w:rFonts w:ascii="Arial" w:hAnsi="Arial" w:cs="Arial"/>
          <w:lang w:val="de-DE"/>
        </w:rPr>
      </w:pPr>
      <w:r w:rsidRPr="00814497">
        <w:rPr>
          <w:rFonts w:ascii="Arial" w:hAnsi="Arial" w:cs="Arial"/>
        </w:rPr>
        <w:t xml:space="preserve">Morishita, S., </w:t>
      </w:r>
      <w:proofErr w:type="spellStart"/>
      <w:r w:rsidRPr="00814497">
        <w:rPr>
          <w:rFonts w:ascii="Arial" w:hAnsi="Arial" w:cs="Arial"/>
        </w:rPr>
        <w:t>Hamaue</w:t>
      </w:r>
      <w:proofErr w:type="spellEnd"/>
      <w:r w:rsidRPr="00814497">
        <w:rPr>
          <w:rFonts w:ascii="Arial" w:hAnsi="Arial" w:cs="Arial"/>
        </w:rPr>
        <w:t xml:space="preserve">, Y., Fukushima, T., Tanaka, T., Fu, J. B., &amp; Nakano, J. (2020). Effect of exercise on mortality and recurrence in patients with cancer: A systematic review and meta-analysis. </w:t>
      </w:r>
      <w:r w:rsidRPr="00A77B59">
        <w:rPr>
          <w:rFonts w:ascii="Arial" w:hAnsi="Arial" w:cs="Arial"/>
          <w:i/>
          <w:iCs/>
          <w:lang w:val="de-DE"/>
        </w:rPr>
        <w:t>Integrative Cancer Therapies</w:t>
      </w:r>
      <w:r w:rsidRPr="00814497">
        <w:rPr>
          <w:rFonts w:ascii="Arial" w:hAnsi="Arial" w:cs="Arial"/>
          <w:lang w:val="de-DE"/>
        </w:rPr>
        <w:t xml:space="preserve">, 19, 1534735420917462. </w:t>
      </w:r>
      <w:r w:rsidR="00A77B59">
        <w:rPr>
          <w:rFonts w:ascii="Arial" w:hAnsi="Arial" w:cs="Arial"/>
          <w:lang w:val="de-DE"/>
        </w:rPr>
        <w:fldChar w:fldCharType="begin"/>
      </w:r>
      <w:r w:rsidR="00A77B59">
        <w:rPr>
          <w:rFonts w:ascii="Arial" w:hAnsi="Arial" w:cs="Arial"/>
          <w:lang w:val="de-DE"/>
        </w:rPr>
        <w:instrText>HYPERLINK "</w:instrText>
      </w:r>
      <w:r w:rsidR="00A77B59" w:rsidRPr="00814497">
        <w:rPr>
          <w:rFonts w:ascii="Arial" w:hAnsi="Arial" w:cs="Arial"/>
          <w:lang w:val="de-DE"/>
        </w:rPr>
        <w:instrText>https://doi.org/10.1177/1534735420917462</w:instrText>
      </w:r>
      <w:r w:rsidR="00A77B59">
        <w:rPr>
          <w:rFonts w:ascii="Arial" w:hAnsi="Arial" w:cs="Arial"/>
          <w:lang w:val="de-DE"/>
        </w:rPr>
        <w:instrText>"</w:instrText>
      </w:r>
      <w:r w:rsidR="00A77B59">
        <w:rPr>
          <w:rFonts w:ascii="Arial" w:hAnsi="Arial" w:cs="Arial"/>
          <w:lang w:val="de-DE"/>
        </w:rPr>
      </w:r>
      <w:r w:rsidR="00A77B59">
        <w:rPr>
          <w:rFonts w:ascii="Arial" w:hAnsi="Arial" w:cs="Arial"/>
          <w:lang w:val="de-DE"/>
        </w:rPr>
        <w:fldChar w:fldCharType="separate"/>
      </w:r>
      <w:r w:rsidR="00A77B59" w:rsidRPr="00D12E29">
        <w:rPr>
          <w:rStyle w:val="Hyperlink"/>
          <w:rFonts w:ascii="Arial" w:hAnsi="Arial" w:cs="Arial"/>
          <w:lang w:val="de-DE"/>
        </w:rPr>
        <w:t>https://doi.org/10.1177/1534735420917462</w:t>
      </w:r>
      <w:r w:rsidR="00A77B59">
        <w:rPr>
          <w:rFonts w:ascii="Arial" w:hAnsi="Arial" w:cs="Arial"/>
          <w:lang w:val="de-DE"/>
        </w:rPr>
        <w:fldChar w:fldCharType="end"/>
      </w:r>
    </w:p>
    <w:p w14:paraId="1C3AB86C" w14:textId="112B9A1F" w:rsidR="00814497" w:rsidRDefault="00814497" w:rsidP="00814497">
      <w:pPr>
        <w:spacing w:line="360" w:lineRule="auto"/>
        <w:jc w:val="both"/>
        <w:rPr>
          <w:rFonts w:ascii="Arial" w:hAnsi="Arial" w:cs="Arial"/>
        </w:rPr>
      </w:pPr>
      <w:r w:rsidRPr="00814497">
        <w:rPr>
          <w:rFonts w:ascii="Arial" w:hAnsi="Arial" w:cs="Arial"/>
          <w:lang w:val="de-DE"/>
        </w:rPr>
        <w:t xml:space="preserve">Neuendorf, T., Haase, R., Schroeder, S., Schumann, M., &amp; Nitzsche, N. (2023). </w:t>
      </w:r>
      <w:r w:rsidRPr="00814497">
        <w:rPr>
          <w:rFonts w:ascii="Arial" w:hAnsi="Arial" w:cs="Arial"/>
        </w:rPr>
        <w:t xml:space="preserve">Effects of high-intensity interval training on functional performance and maximal oxygen uptake in comparison with moderate intensity continuous training in cancer patients: a systematic review and meta-analysis. </w:t>
      </w:r>
      <w:r w:rsidRPr="00A77B59">
        <w:rPr>
          <w:rFonts w:ascii="Arial" w:hAnsi="Arial" w:cs="Arial"/>
          <w:i/>
          <w:iCs/>
        </w:rPr>
        <w:t xml:space="preserve">Supportive Care in Cancer: Official Journal of the Multinational </w:t>
      </w:r>
      <w:r w:rsidRPr="00A77B59">
        <w:rPr>
          <w:rFonts w:ascii="Arial" w:hAnsi="Arial" w:cs="Arial"/>
          <w:i/>
          <w:iCs/>
        </w:rPr>
        <w:lastRenderedPageBreak/>
        <w:t>Association of Supportive Care in Cancer</w:t>
      </w:r>
      <w:r w:rsidRPr="00814497">
        <w:rPr>
          <w:rFonts w:ascii="Arial" w:hAnsi="Arial" w:cs="Arial"/>
        </w:rPr>
        <w:t xml:space="preserve">, 31(12), 643. </w:t>
      </w:r>
      <w:hyperlink r:id="rId30" w:history="1">
        <w:r w:rsidR="00A77B59" w:rsidRPr="00D12E29">
          <w:rPr>
            <w:rStyle w:val="Hyperlink"/>
            <w:rFonts w:ascii="Arial" w:hAnsi="Arial" w:cs="Arial"/>
          </w:rPr>
          <w:t>https://doi.org/10.1007/s00520-023-08103-9</w:t>
        </w:r>
      </w:hyperlink>
    </w:p>
    <w:p w14:paraId="196AAA16" w14:textId="73B76D44" w:rsidR="00814497" w:rsidRDefault="00814497" w:rsidP="00814497">
      <w:pPr>
        <w:spacing w:line="360" w:lineRule="auto"/>
        <w:jc w:val="both"/>
        <w:rPr>
          <w:rFonts w:ascii="Arial" w:hAnsi="Arial" w:cs="Arial"/>
          <w:lang w:val="es-MX"/>
        </w:rPr>
      </w:pPr>
      <w:r w:rsidRPr="00612AC8">
        <w:rPr>
          <w:rFonts w:ascii="Arial" w:hAnsi="Arial" w:cs="Arial"/>
        </w:rPr>
        <w:t xml:space="preserve">Paul, S., Kantarjian, H., &amp; Jabbour, E. J. (2016). </w:t>
      </w:r>
      <w:r w:rsidRPr="00814497">
        <w:rPr>
          <w:rFonts w:ascii="Arial" w:hAnsi="Arial" w:cs="Arial"/>
        </w:rPr>
        <w:t xml:space="preserve">Adult acute lymphoblastic leukemia. Mayo Clinic Proceedings. </w:t>
      </w:r>
      <w:r w:rsidRPr="00A77B59">
        <w:rPr>
          <w:rFonts w:ascii="Arial" w:hAnsi="Arial" w:cs="Arial"/>
          <w:i/>
          <w:iCs/>
          <w:lang w:val="es-MX"/>
        </w:rPr>
        <w:t xml:space="preserve">Mayo </w:t>
      </w:r>
      <w:proofErr w:type="spellStart"/>
      <w:r w:rsidRPr="00A77B59">
        <w:rPr>
          <w:rFonts w:ascii="Arial" w:hAnsi="Arial" w:cs="Arial"/>
          <w:i/>
          <w:iCs/>
          <w:lang w:val="es-MX"/>
        </w:rPr>
        <w:t>Clinic</w:t>
      </w:r>
      <w:proofErr w:type="spellEnd"/>
      <w:r w:rsidRPr="00814497">
        <w:rPr>
          <w:rFonts w:ascii="Arial" w:hAnsi="Arial" w:cs="Arial"/>
          <w:lang w:val="es-MX"/>
        </w:rPr>
        <w:t xml:space="preserve">, 91(11), 1645–1666. </w:t>
      </w:r>
      <w:r w:rsidR="00A77B59">
        <w:fldChar w:fldCharType="begin"/>
      </w:r>
      <w:r w:rsidR="00A77B59" w:rsidRPr="00BA1579">
        <w:rPr>
          <w:lang w:val="es-MX"/>
        </w:rPr>
        <w:instrText>HYPERLINK "https://doi.org/10.1016/j.mayocp.2016.09.010"</w:instrText>
      </w:r>
      <w:r w:rsidR="00A77B59">
        <w:fldChar w:fldCharType="separate"/>
      </w:r>
      <w:r w:rsidR="00A77B59" w:rsidRPr="00D12E29">
        <w:rPr>
          <w:rStyle w:val="Hyperlink"/>
          <w:rFonts w:ascii="Arial" w:hAnsi="Arial" w:cs="Arial"/>
          <w:lang w:val="es-MX"/>
        </w:rPr>
        <w:t>https://doi.org/10.1016/j.mayocp.2016.09.010</w:t>
      </w:r>
      <w:r w:rsidR="00A77B59">
        <w:fldChar w:fldCharType="end"/>
      </w:r>
    </w:p>
    <w:p w14:paraId="33885689" w14:textId="77777777" w:rsidR="00814497" w:rsidRPr="00814497" w:rsidRDefault="00814497" w:rsidP="00814497">
      <w:pPr>
        <w:spacing w:line="360" w:lineRule="auto"/>
        <w:jc w:val="both"/>
        <w:rPr>
          <w:rFonts w:ascii="Arial" w:hAnsi="Arial" w:cs="Arial"/>
          <w:lang w:val="es-MX"/>
        </w:rPr>
      </w:pPr>
      <w:r w:rsidRPr="00814497">
        <w:rPr>
          <w:rFonts w:ascii="Arial" w:hAnsi="Arial" w:cs="Arial"/>
          <w:lang w:val="es-MX"/>
        </w:rPr>
        <w:t xml:space="preserve">Ramos-Peñafiel, C. O., Martínez-Murillo, C., Santoyo-Sánchez, A., Jiménez-Ponce, F., </w:t>
      </w:r>
      <w:proofErr w:type="spellStart"/>
      <w:r w:rsidRPr="00814497">
        <w:rPr>
          <w:rFonts w:ascii="Arial" w:hAnsi="Arial" w:cs="Arial"/>
          <w:lang w:val="es-MX"/>
        </w:rPr>
        <w:t>Rozen</w:t>
      </w:r>
      <w:proofErr w:type="spellEnd"/>
      <w:r w:rsidRPr="00814497">
        <w:rPr>
          <w:rFonts w:ascii="Arial" w:hAnsi="Arial" w:cs="Arial"/>
          <w:lang w:val="es-MX"/>
        </w:rPr>
        <w:t>-Fuller, E., Collazo-</w:t>
      </w:r>
      <w:proofErr w:type="spellStart"/>
      <w:r w:rsidRPr="00814497">
        <w:rPr>
          <w:rFonts w:ascii="Arial" w:hAnsi="Arial" w:cs="Arial"/>
          <w:lang w:val="es-MX"/>
        </w:rPr>
        <w:t>Jaloma</w:t>
      </w:r>
      <w:proofErr w:type="spellEnd"/>
      <w:r w:rsidRPr="00814497">
        <w:rPr>
          <w:rFonts w:ascii="Arial" w:hAnsi="Arial" w:cs="Arial"/>
          <w:lang w:val="es-MX"/>
        </w:rPr>
        <w:t xml:space="preserve">, J., Olarte-Carrillo, I., &amp; Martínez-Tovar, A. (2014). </w:t>
      </w:r>
      <w:r w:rsidRPr="00814497">
        <w:rPr>
          <w:rFonts w:ascii="Arial" w:hAnsi="Arial" w:cs="Arial"/>
        </w:rPr>
        <w:t xml:space="preserve">Effect of metformin addition to an acute lymphoblastic leukemia chemotherapy treatment. </w:t>
      </w:r>
      <w:r w:rsidRPr="00A77B59">
        <w:rPr>
          <w:rFonts w:ascii="Arial" w:hAnsi="Arial" w:cs="Arial"/>
          <w:i/>
          <w:iCs/>
          <w:lang w:val="es-MX"/>
        </w:rPr>
        <w:t xml:space="preserve">Revista </w:t>
      </w:r>
      <w:proofErr w:type="spellStart"/>
      <w:r w:rsidRPr="00A77B59">
        <w:rPr>
          <w:rFonts w:ascii="Arial" w:hAnsi="Arial" w:cs="Arial"/>
          <w:i/>
          <w:iCs/>
          <w:lang w:val="es-MX"/>
        </w:rPr>
        <w:t>medica</w:t>
      </w:r>
      <w:proofErr w:type="spellEnd"/>
      <w:r w:rsidRPr="00A77B59">
        <w:rPr>
          <w:rFonts w:ascii="Arial" w:hAnsi="Arial" w:cs="Arial"/>
          <w:i/>
          <w:iCs/>
          <w:lang w:val="es-MX"/>
        </w:rPr>
        <w:t xml:space="preserve"> del Instituto Mexicano del Seguro Social</w:t>
      </w:r>
      <w:r w:rsidRPr="00814497">
        <w:rPr>
          <w:rFonts w:ascii="Arial" w:hAnsi="Arial" w:cs="Arial"/>
          <w:lang w:val="es-MX"/>
        </w:rPr>
        <w:t>, 52(3), 270–275.</w:t>
      </w:r>
    </w:p>
    <w:p w14:paraId="4F6A997F" w14:textId="6E7672C2" w:rsidR="00814497" w:rsidRPr="00A77B59" w:rsidRDefault="00814497" w:rsidP="00814497">
      <w:pPr>
        <w:spacing w:line="360" w:lineRule="auto"/>
        <w:jc w:val="both"/>
        <w:rPr>
          <w:rFonts w:ascii="Arial" w:hAnsi="Arial" w:cs="Arial"/>
        </w:rPr>
      </w:pPr>
      <w:r w:rsidRPr="00814497">
        <w:rPr>
          <w:rFonts w:ascii="Arial" w:hAnsi="Arial" w:cs="Arial"/>
          <w:lang w:val="es-MX"/>
        </w:rPr>
        <w:t>Ramos-Peñafiel, C. O., Olarte-Carrillo, I., Santoyo-Sánchez, A., Castellanos-</w:t>
      </w:r>
      <w:proofErr w:type="spellStart"/>
      <w:r w:rsidRPr="00814497">
        <w:rPr>
          <w:rFonts w:ascii="Arial" w:hAnsi="Arial" w:cs="Arial"/>
          <w:lang w:val="es-MX"/>
        </w:rPr>
        <w:t>Sinco</w:t>
      </w:r>
      <w:proofErr w:type="spellEnd"/>
      <w:r w:rsidRPr="00814497">
        <w:rPr>
          <w:rFonts w:ascii="Arial" w:hAnsi="Arial" w:cs="Arial"/>
          <w:lang w:val="es-MX"/>
        </w:rPr>
        <w:t>, H., Montaño-Figueroa, E., León-González, G., Cabrera-Ozuna, S., Collazo-</w:t>
      </w:r>
      <w:proofErr w:type="spellStart"/>
      <w:r w:rsidRPr="00814497">
        <w:rPr>
          <w:rFonts w:ascii="Arial" w:hAnsi="Arial" w:cs="Arial"/>
          <w:lang w:val="es-MX"/>
        </w:rPr>
        <w:t>Jaloma</w:t>
      </w:r>
      <w:proofErr w:type="spellEnd"/>
      <w:r w:rsidRPr="00814497">
        <w:rPr>
          <w:rFonts w:ascii="Arial" w:hAnsi="Arial" w:cs="Arial"/>
          <w:lang w:val="es-MX"/>
        </w:rPr>
        <w:t xml:space="preserve">, J., &amp; Martínez-Tovar, A. (2016). Factores pronósticos de remisión en pacientes con leucemia linfoblástica aguda posterior a </w:t>
      </w:r>
      <w:proofErr w:type="gramStart"/>
      <w:r w:rsidRPr="00814497">
        <w:rPr>
          <w:rFonts w:ascii="Arial" w:hAnsi="Arial" w:cs="Arial"/>
          <w:lang w:val="es-MX"/>
        </w:rPr>
        <w:t>primer recaída</w:t>
      </w:r>
      <w:proofErr w:type="gramEnd"/>
      <w:r w:rsidRPr="00814497">
        <w:rPr>
          <w:rFonts w:ascii="Arial" w:hAnsi="Arial" w:cs="Arial"/>
          <w:lang w:val="es-MX"/>
        </w:rPr>
        <w:t xml:space="preserve">. </w:t>
      </w:r>
      <w:proofErr w:type="spellStart"/>
      <w:r w:rsidRPr="00612AC8">
        <w:rPr>
          <w:rFonts w:ascii="Arial" w:hAnsi="Arial" w:cs="Arial"/>
          <w:i/>
          <w:iCs/>
        </w:rPr>
        <w:t>Revista</w:t>
      </w:r>
      <w:proofErr w:type="spellEnd"/>
      <w:r w:rsidRPr="00612AC8">
        <w:rPr>
          <w:rFonts w:ascii="Arial" w:hAnsi="Arial" w:cs="Arial"/>
          <w:i/>
          <w:iCs/>
        </w:rPr>
        <w:t xml:space="preserve"> </w:t>
      </w:r>
      <w:proofErr w:type="spellStart"/>
      <w:r w:rsidRPr="00612AC8">
        <w:rPr>
          <w:rFonts w:ascii="Arial" w:hAnsi="Arial" w:cs="Arial"/>
          <w:i/>
          <w:iCs/>
        </w:rPr>
        <w:t>colombiana</w:t>
      </w:r>
      <w:proofErr w:type="spellEnd"/>
      <w:r w:rsidRPr="00612AC8">
        <w:rPr>
          <w:rFonts w:ascii="Arial" w:hAnsi="Arial" w:cs="Arial"/>
          <w:i/>
          <w:iCs/>
        </w:rPr>
        <w:t xml:space="preserve"> de </w:t>
      </w:r>
      <w:proofErr w:type="spellStart"/>
      <w:r w:rsidRPr="00612AC8">
        <w:rPr>
          <w:rFonts w:ascii="Arial" w:hAnsi="Arial" w:cs="Arial"/>
          <w:i/>
          <w:iCs/>
        </w:rPr>
        <w:t>cancerologia</w:t>
      </w:r>
      <w:proofErr w:type="spellEnd"/>
      <w:r w:rsidRPr="00612AC8">
        <w:rPr>
          <w:rFonts w:ascii="Arial" w:hAnsi="Arial" w:cs="Arial"/>
        </w:rPr>
        <w:t xml:space="preserve">, 20(4), 159–166. </w:t>
      </w:r>
      <w:hyperlink r:id="rId31" w:history="1">
        <w:r w:rsidR="00A77B59" w:rsidRPr="00A77B59">
          <w:rPr>
            <w:rStyle w:val="Hyperlink"/>
            <w:rFonts w:ascii="Arial" w:hAnsi="Arial" w:cs="Arial"/>
          </w:rPr>
          <w:t>https://doi.org/10.1016/j.rccan.2016.11.001</w:t>
        </w:r>
      </w:hyperlink>
    </w:p>
    <w:p w14:paraId="2463FFD3" w14:textId="0EC480D3" w:rsidR="00814497" w:rsidRDefault="00814497" w:rsidP="00814497">
      <w:pPr>
        <w:spacing w:line="360" w:lineRule="auto"/>
        <w:jc w:val="both"/>
        <w:rPr>
          <w:rFonts w:ascii="Arial" w:hAnsi="Arial" w:cs="Arial"/>
        </w:rPr>
      </w:pPr>
      <w:r w:rsidRPr="00814497">
        <w:rPr>
          <w:rFonts w:ascii="Arial" w:hAnsi="Arial" w:cs="Arial"/>
        </w:rPr>
        <w:t xml:space="preserve">Saligan, L. N., Olson, K., Filler, K., Larkin, D., Cramp, F., </w:t>
      </w:r>
      <w:proofErr w:type="spellStart"/>
      <w:r w:rsidRPr="00814497">
        <w:rPr>
          <w:rFonts w:ascii="Arial" w:hAnsi="Arial" w:cs="Arial"/>
        </w:rPr>
        <w:t>Yennurajalingam</w:t>
      </w:r>
      <w:proofErr w:type="spellEnd"/>
      <w:r w:rsidRPr="00814497">
        <w:rPr>
          <w:rFonts w:ascii="Arial" w:hAnsi="Arial" w:cs="Arial"/>
        </w:rPr>
        <w:t xml:space="preserve">, S., Escalante, C. P., del Giglio, A., Kober, K. M., Kamath, J., </w:t>
      </w:r>
      <w:proofErr w:type="spellStart"/>
      <w:r w:rsidRPr="00814497">
        <w:rPr>
          <w:rFonts w:ascii="Arial" w:hAnsi="Arial" w:cs="Arial"/>
        </w:rPr>
        <w:t>Palesh</w:t>
      </w:r>
      <w:proofErr w:type="spellEnd"/>
      <w:r w:rsidRPr="00814497">
        <w:rPr>
          <w:rFonts w:ascii="Arial" w:hAnsi="Arial" w:cs="Arial"/>
        </w:rPr>
        <w:t xml:space="preserve">, O., Mustian, K., &amp; Multinational Association of Supportive Care in Cancer Fatigue Study Group-Biomarker Working Group. (2015). The biology of cancer-related fatigue: a review of the literature. Supportive Care in Cancer: </w:t>
      </w:r>
      <w:r w:rsidRPr="00A77B59">
        <w:rPr>
          <w:rFonts w:ascii="Arial" w:hAnsi="Arial" w:cs="Arial"/>
          <w:i/>
          <w:iCs/>
        </w:rPr>
        <w:t>Official Journal of the Multinational Association of Supportive Care in Cancer</w:t>
      </w:r>
      <w:r w:rsidRPr="00814497">
        <w:rPr>
          <w:rFonts w:ascii="Arial" w:hAnsi="Arial" w:cs="Arial"/>
        </w:rPr>
        <w:t xml:space="preserve">, 23(8), 2461–2478. </w:t>
      </w:r>
      <w:hyperlink r:id="rId32" w:history="1">
        <w:r w:rsidR="00A77B59" w:rsidRPr="00D12E29">
          <w:rPr>
            <w:rStyle w:val="Hyperlink"/>
            <w:rFonts w:ascii="Arial" w:hAnsi="Arial" w:cs="Arial"/>
          </w:rPr>
          <w:t>https://doi.org/10.1007/s00520-015-2763-0</w:t>
        </w:r>
      </w:hyperlink>
    </w:p>
    <w:p w14:paraId="51349509" w14:textId="14744C42" w:rsidR="00814497" w:rsidRDefault="00814497" w:rsidP="00814497">
      <w:pPr>
        <w:spacing w:line="360" w:lineRule="auto"/>
        <w:jc w:val="both"/>
        <w:rPr>
          <w:rFonts w:ascii="Arial" w:hAnsi="Arial" w:cs="Arial"/>
        </w:rPr>
      </w:pPr>
      <w:proofErr w:type="spellStart"/>
      <w:r w:rsidRPr="00814497">
        <w:rPr>
          <w:rFonts w:ascii="Arial" w:hAnsi="Arial" w:cs="Arial"/>
        </w:rPr>
        <w:t>Schmaal</w:t>
      </w:r>
      <w:proofErr w:type="spellEnd"/>
      <w:r w:rsidRPr="00814497">
        <w:rPr>
          <w:rFonts w:ascii="Arial" w:hAnsi="Arial" w:cs="Arial"/>
        </w:rPr>
        <w:t xml:space="preserve">, L., Veltman, D. J., van Erp, T. G. M., Sämann, P. G., Frodl, T., Jahanshad, N., Loehrer, E., Tiemeier, H., Hofman, A., Niessen, W. J., </w:t>
      </w:r>
      <w:proofErr w:type="spellStart"/>
      <w:r w:rsidRPr="00814497">
        <w:rPr>
          <w:rFonts w:ascii="Arial" w:hAnsi="Arial" w:cs="Arial"/>
        </w:rPr>
        <w:t>Vernooij</w:t>
      </w:r>
      <w:proofErr w:type="spellEnd"/>
      <w:r w:rsidRPr="00814497">
        <w:rPr>
          <w:rFonts w:ascii="Arial" w:hAnsi="Arial" w:cs="Arial"/>
        </w:rPr>
        <w:t xml:space="preserve">, M. W., Ikram, M. A., </w:t>
      </w:r>
      <w:proofErr w:type="spellStart"/>
      <w:r w:rsidRPr="00814497">
        <w:rPr>
          <w:rFonts w:ascii="Arial" w:hAnsi="Arial" w:cs="Arial"/>
        </w:rPr>
        <w:t>Wittfeld</w:t>
      </w:r>
      <w:proofErr w:type="spellEnd"/>
      <w:r w:rsidRPr="00814497">
        <w:rPr>
          <w:rFonts w:ascii="Arial" w:hAnsi="Arial" w:cs="Arial"/>
        </w:rPr>
        <w:t xml:space="preserve">, K., Grabe, H. J., Block, A., </w:t>
      </w:r>
      <w:proofErr w:type="spellStart"/>
      <w:r w:rsidRPr="00814497">
        <w:rPr>
          <w:rFonts w:ascii="Arial" w:hAnsi="Arial" w:cs="Arial"/>
        </w:rPr>
        <w:t>Hegenscheid</w:t>
      </w:r>
      <w:proofErr w:type="spellEnd"/>
      <w:r w:rsidRPr="00814497">
        <w:rPr>
          <w:rFonts w:ascii="Arial" w:hAnsi="Arial" w:cs="Arial"/>
        </w:rPr>
        <w:t xml:space="preserve">, K., </w:t>
      </w:r>
      <w:proofErr w:type="spellStart"/>
      <w:r w:rsidRPr="00814497">
        <w:rPr>
          <w:rFonts w:ascii="Arial" w:hAnsi="Arial" w:cs="Arial"/>
        </w:rPr>
        <w:t>Völzke</w:t>
      </w:r>
      <w:proofErr w:type="spellEnd"/>
      <w:r w:rsidRPr="00814497">
        <w:rPr>
          <w:rFonts w:ascii="Arial" w:hAnsi="Arial" w:cs="Arial"/>
        </w:rPr>
        <w:t xml:space="preserve">, H., Hoehn, D., </w:t>
      </w:r>
      <w:proofErr w:type="spellStart"/>
      <w:r w:rsidRPr="00814497">
        <w:rPr>
          <w:rFonts w:ascii="Arial" w:hAnsi="Arial" w:cs="Arial"/>
        </w:rPr>
        <w:t>Czisch</w:t>
      </w:r>
      <w:proofErr w:type="spellEnd"/>
      <w:r w:rsidRPr="00814497">
        <w:rPr>
          <w:rFonts w:ascii="Arial" w:hAnsi="Arial" w:cs="Arial"/>
        </w:rPr>
        <w:t xml:space="preserve">, M., … </w:t>
      </w:r>
      <w:proofErr w:type="spellStart"/>
      <w:r w:rsidRPr="00814497">
        <w:rPr>
          <w:rFonts w:ascii="Arial" w:hAnsi="Arial" w:cs="Arial"/>
        </w:rPr>
        <w:t>Hibar</w:t>
      </w:r>
      <w:proofErr w:type="spellEnd"/>
      <w:r w:rsidRPr="00814497">
        <w:rPr>
          <w:rFonts w:ascii="Arial" w:hAnsi="Arial" w:cs="Arial"/>
        </w:rPr>
        <w:t xml:space="preserve">, D. P. (2016). Subcortical brain alterations in major depressive disorder: findings from the ENIGMA Major Depressive Disorder working group. </w:t>
      </w:r>
      <w:r w:rsidRPr="00A77B59">
        <w:rPr>
          <w:rFonts w:ascii="Arial" w:hAnsi="Arial" w:cs="Arial"/>
          <w:i/>
          <w:iCs/>
        </w:rPr>
        <w:t>Molecular Psychiatry</w:t>
      </w:r>
      <w:r w:rsidRPr="00814497">
        <w:rPr>
          <w:rFonts w:ascii="Arial" w:hAnsi="Arial" w:cs="Arial"/>
        </w:rPr>
        <w:t xml:space="preserve">, 21(6), 806–812. </w:t>
      </w:r>
      <w:hyperlink r:id="rId33" w:history="1">
        <w:r w:rsidR="00A77B59" w:rsidRPr="00D12E29">
          <w:rPr>
            <w:rStyle w:val="Hyperlink"/>
            <w:rFonts w:ascii="Arial" w:hAnsi="Arial" w:cs="Arial"/>
          </w:rPr>
          <w:t>https://doi.org/10.1038/mp.2015.69</w:t>
        </w:r>
      </w:hyperlink>
    </w:p>
    <w:p w14:paraId="3AD70AFD" w14:textId="000DE614" w:rsidR="00814497" w:rsidRPr="00612AC8" w:rsidRDefault="00814497" w:rsidP="00814497">
      <w:pPr>
        <w:spacing w:line="360" w:lineRule="auto"/>
        <w:jc w:val="both"/>
        <w:rPr>
          <w:rFonts w:ascii="Arial" w:hAnsi="Arial" w:cs="Arial"/>
        </w:rPr>
      </w:pPr>
      <w:r w:rsidRPr="00814497">
        <w:rPr>
          <w:rFonts w:ascii="Arial" w:hAnsi="Arial" w:cs="Arial"/>
        </w:rPr>
        <w:t xml:space="preserve">Schuch, F. B., &amp; Stubbs, B. (2019). The role of exercise in preventing and treating depression. </w:t>
      </w:r>
      <w:r w:rsidRPr="00A77B59">
        <w:rPr>
          <w:rFonts w:ascii="Arial" w:hAnsi="Arial" w:cs="Arial"/>
          <w:i/>
          <w:iCs/>
        </w:rPr>
        <w:t>Current Sports Medicine Reports,</w:t>
      </w:r>
      <w:r w:rsidRPr="00814497">
        <w:rPr>
          <w:rFonts w:ascii="Arial" w:hAnsi="Arial" w:cs="Arial"/>
        </w:rPr>
        <w:t xml:space="preserve"> 18(8), 299–304. </w:t>
      </w:r>
      <w:hyperlink r:id="rId34" w:history="1">
        <w:r w:rsidR="00A77B59" w:rsidRPr="00612AC8">
          <w:rPr>
            <w:rStyle w:val="Hyperlink"/>
            <w:rFonts w:ascii="Arial" w:hAnsi="Arial" w:cs="Arial"/>
          </w:rPr>
          <w:t>https://doi.org/10.1249/JSR.0000000000000620</w:t>
        </w:r>
      </w:hyperlink>
    </w:p>
    <w:p w14:paraId="1D073431" w14:textId="1E4E8DAF" w:rsidR="00814497" w:rsidRDefault="00814497" w:rsidP="00814497">
      <w:pPr>
        <w:spacing w:line="360" w:lineRule="auto"/>
        <w:jc w:val="both"/>
        <w:rPr>
          <w:rFonts w:ascii="Arial" w:hAnsi="Arial" w:cs="Arial"/>
        </w:rPr>
      </w:pPr>
      <w:r w:rsidRPr="00612AC8">
        <w:rPr>
          <w:rFonts w:ascii="Arial" w:hAnsi="Arial" w:cs="Arial"/>
        </w:rPr>
        <w:lastRenderedPageBreak/>
        <w:t xml:space="preserve">Seram, N., </w:t>
      </w:r>
      <w:proofErr w:type="spellStart"/>
      <w:r w:rsidRPr="00612AC8">
        <w:rPr>
          <w:rFonts w:ascii="Arial" w:hAnsi="Arial" w:cs="Arial"/>
        </w:rPr>
        <w:t>Mataraarachchi</w:t>
      </w:r>
      <w:proofErr w:type="spellEnd"/>
      <w:r w:rsidRPr="00612AC8">
        <w:rPr>
          <w:rFonts w:ascii="Arial" w:hAnsi="Arial" w:cs="Arial"/>
        </w:rPr>
        <w:t xml:space="preserve">, R., &amp; Jayaneththi, T. (2021). </w:t>
      </w:r>
      <w:r w:rsidRPr="00814497">
        <w:rPr>
          <w:rFonts w:ascii="Arial" w:hAnsi="Arial" w:cs="Arial"/>
        </w:rPr>
        <w:t xml:space="preserve">Adaptive clothing features to support daily exercising needs of muscular dystrophy victimized women in Sri Lanka. </w:t>
      </w:r>
      <w:r w:rsidRPr="00A77B59">
        <w:rPr>
          <w:rFonts w:ascii="Arial" w:hAnsi="Arial" w:cs="Arial"/>
          <w:i/>
          <w:iCs/>
        </w:rPr>
        <w:t>Research Journal of Textile and Apparel</w:t>
      </w:r>
      <w:r w:rsidRPr="00814497">
        <w:rPr>
          <w:rFonts w:ascii="Arial" w:hAnsi="Arial" w:cs="Arial"/>
        </w:rPr>
        <w:t xml:space="preserve">, 25(2), 170–191. </w:t>
      </w:r>
      <w:hyperlink r:id="rId35" w:history="1">
        <w:r w:rsidR="00A77B59" w:rsidRPr="00D12E29">
          <w:rPr>
            <w:rStyle w:val="Hyperlink"/>
            <w:rFonts w:ascii="Arial" w:hAnsi="Arial" w:cs="Arial"/>
          </w:rPr>
          <w:t>https://doi.org/10.1108/rjta-08-2020-0087</w:t>
        </w:r>
      </w:hyperlink>
    </w:p>
    <w:p w14:paraId="4F7FE22A" w14:textId="6FF1932C" w:rsidR="00797EE3" w:rsidRDefault="00814497" w:rsidP="00814497">
      <w:pPr>
        <w:spacing w:line="360" w:lineRule="auto"/>
        <w:jc w:val="both"/>
        <w:rPr>
          <w:rFonts w:ascii="Arial" w:hAnsi="Arial" w:cs="Arial"/>
        </w:rPr>
      </w:pPr>
      <w:r w:rsidRPr="00814497">
        <w:rPr>
          <w:rFonts w:ascii="Arial" w:hAnsi="Arial" w:cs="Arial"/>
        </w:rPr>
        <w:t xml:space="preserve">Wells, C. L., Resnick, B., McPherson, R., &amp; Frampton, K. (2024). Implementation of the </w:t>
      </w:r>
      <w:proofErr w:type="spellStart"/>
      <w:r w:rsidRPr="00814497">
        <w:rPr>
          <w:rFonts w:ascii="Arial" w:hAnsi="Arial" w:cs="Arial"/>
        </w:rPr>
        <w:t>UMove</w:t>
      </w:r>
      <w:proofErr w:type="spellEnd"/>
      <w:r w:rsidRPr="00814497">
        <w:rPr>
          <w:rFonts w:ascii="Arial" w:hAnsi="Arial" w:cs="Arial"/>
        </w:rPr>
        <w:t xml:space="preserve"> mobility program to promote safe patient mobility and reduce falls in the hospital setting. </w:t>
      </w:r>
      <w:r w:rsidRPr="00A77B59">
        <w:rPr>
          <w:rFonts w:ascii="Arial" w:hAnsi="Arial" w:cs="Arial"/>
          <w:i/>
          <w:iCs/>
        </w:rPr>
        <w:t>Research in Gerontological Nursing</w:t>
      </w:r>
      <w:r w:rsidRPr="00814497">
        <w:rPr>
          <w:rFonts w:ascii="Arial" w:hAnsi="Arial" w:cs="Arial"/>
        </w:rPr>
        <w:t xml:space="preserve">, 17(1), 19–29. </w:t>
      </w:r>
      <w:hyperlink r:id="rId36" w:history="1">
        <w:r w:rsidR="00A77B59" w:rsidRPr="00D12E29">
          <w:rPr>
            <w:rStyle w:val="Hyperlink"/>
            <w:rFonts w:ascii="Arial" w:hAnsi="Arial" w:cs="Arial"/>
          </w:rPr>
          <w:t>https://doi.org/10.3928/19404921-20231013-01</w:t>
        </w:r>
      </w:hyperlink>
    </w:p>
    <w:p w14:paraId="3BA81816" w14:textId="77777777" w:rsidR="00A77B59" w:rsidRPr="00D01EBD" w:rsidRDefault="00A77B59" w:rsidP="00814497">
      <w:pPr>
        <w:spacing w:line="360" w:lineRule="auto"/>
        <w:jc w:val="both"/>
        <w:rPr>
          <w:rFonts w:ascii="Arial" w:hAnsi="Arial" w:cs="Arial"/>
          <w:b/>
          <w:bCs/>
          <w:lang w:val="fr-FR"/>
        </w:rPr>
      </w:pPr>
    </w:p>
    <w:sectPr w:rsidR="00A77B59" w:rsidRPr="00D0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28AD"/>
    <w:multiLevelType w:val="multilevel"/>
    <w:tmpl w:val="4DF05A9C"/>
    <w:lvl w:ilvl="0">
      <w:start w:val="7"/>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86A60"/>
    <w:multiLevelType w:val="hybridMultilevel"/>
    <w:tmpl w:val="80B8B6E2"/>
    <w:lvl w:ilvl="0" w:tplc="6C440F4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35B05"/>
    <w:multiLevelType w:val="hybridMultilevel"/>
    <w:tmpl w:val="11F2C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0368A"/>
    <w:multiLevelType w:val="hybridMultilevel"/>
    <w:tmpl w:val="77C09872"/>
    <w:lvl w:ilvl="0" w:tplc="DD06B8F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FA1EFF"/>
    <w:multiLevelType w:val="hybridMultilevel"/>
    <w:tmpl w:val="C99E2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A4C28"/>
    <w:multiLevelType w:val="hybridMultilevel"/>
    <w:tmpl w:val="C87E32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95096"/>
    <w:multiLevelType w:val="hybridMultilevel"/>
    <w:tmpl w:val="A2D0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90683"/>
    <w:multiLevelType w:val="hybridMultilevel"/>
    <w:tmpl w:val="D9F41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5049F5"/>
    <w:multiLevelType w:val="multilevel"/>
    <w:tmpl w:val="77F8D8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sz w:val="24"/>
        <w:szCs w:val="22"/>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BE482D"/>
    <w:multiLevelType w:val="hybridMultilevel"/>
    <w:tmpl w:val="6C3A6826"/>
    <w:lvl w:ilvl="0" w:tplc="19BA37B0">
      <w:start w:val="1"/>
      <w:numFmt w:val="bullet"/>
      <w:lvlText w:val="•"/>
      <w:lvlJc w:val="left"/>
      <w:pPr>
        <w:tabs>
          <w:tab w:val="num" w:pos="720"/>
        </w:tabs>
        <w:ind w:left="720" w:hanging="360"/>
      </w:pPr>
      <w:rPr>
        <w:rFonts w:ascii="Times New Roman" w:hAnsi="Times New Roman" w:hint="default"/>
      </w:rPr>
    </w:lvl>
    <w:lvl w:ilvl="1" w:tplc="E488EFF2" w:tentative="1">
      <w:start w:val="1"/>
      <w:numFmt w:val="bullet"/>
      <w:lvlText w:val="•"/>
      <w:lvlJc w:val="left"/>
      <w:pPr>
        <w:tabs>
          <w:tab w:val="num" w:pos="1440"/>
        </w:tabs>
        <w:ind w:left="1440" w:hanging="360"/>
      </w:pPr>
      <w:rPr>
        <w:rFonts w:ascii="Times New Roman" w:hAnsi="Times New Roman" w:hint="default"/>
      </w:rPr>
    </w:lvl>
    <w:lvl w:ilvl="2" w:tplc="9D4E3AF4" w:tentative="1">
      <w:start w:val="1"/>
      <w:numFmt w:val="bullet"/>
      <w:lvlText w:val="•"/>
      <w:lvlJc w:val="left"/>
      <w:pPr>
        <w:tabs>
          <w:tab w:val="num" w:pos="2160"/>
        </w:tabs>
        <w:ind w:left="2160" w:hanging="360"/>
      </w:pPr>
      <w:rPr>
        <w:rFonts w:ascii="Times New Roman" w:hAnsi="Times New Roman" w:hint="default"/>
      </w:rPr>
    </w:lvl>
    <w:lvl w:ilvl="3" w:tplc="079408D6" w:tentative="1">
      <w:start w:val="1"/>
      <w:numFmt w:val="bullet"/>
      <w:lvlText w:val="•"/>
      <w:lvlJc w:val="left"/>
      <w:pPr>
        <w:tabs>
          <w:tab w:val="num" w:pos="2880"/>
        </w:tabs>
        <w:ind w:left="2880" w:hanging="360"/>
      </w:pPr>
      <w:rPr>
        <w:rFonts w:ascii="Times New Roman" w:hAnsi="Times New Roman" w:hint="default"/>
      </w:rPr>
    </w:lvl>
    <w:lvl w:ilvl="4" w:tplc="5AF000A8" w:tentative="1">
      <w:start w:val="1"/>
      <w:numFmt w:val="bullet"/>
      <w:lvlText w:val="•"/>
      <w:lvlJc w:val="left"/>
      <w:pPr>
        <w:tabs>
          <w:tab w:val="num" w:pos="3600"/>
        </w:tabs>
        <w:ind w:left="3600" w:hanging="360"/>
      </w:pPr>
      <w:rPr>
        <w:rFonts w:ascii="Times New Roman" w:hAnsi="Times New Roman" w:hint="default"/>
      </w:rPr>
    </w:lvl>
    <w:lvl w:ilvl="5" w:tplc="A7F2788C" w:tentative="1">
      <w:start w:val="1"/>
      <w:numFmt w:val="bullet"/>
      <w:lvlText w:val="•"/>
      <w:lvlJc w:val="left"/>
      <w:pPr>
        <w:tabs>
          <w:tab w:val="num" w:pos="4320"/>
        </w:tabs>
        <w:ind w:left="4320" w:hanging="360"/>
      </w:pPr>
      <w:rPr>
        <w:rFonts w:ascii="Times New Roman" w:hAnsi="Times New Roman" w:hint="default"/>
      </w:rPr>
    </w:lvl>
    <w:lvl w:ilvl="6" w:tplc="F28812A6" w:tentative="1">
      <w:start w:val="1"/>
      <w:numFmt w:val="bullet"/>
      <w:lvlText w:val="•"/>
      <w:lvlJc w:val="left"/>
      <w:pPr>
        <w:tabs>
          <w:tab w:val="num" w:pos="5040"/>
        </w:tabs>
        <w:ind w:left="5040" w:hanging="360"/>
      </w:pPr>
      <w:rPr>
        <w:rFonts w:ascii="Times New Roman" w:hAnsi="Times New Roman" w:hint="default"/>
      </w:rPr>
    </w:lvl>
    <w:lvl w:ilvl="7" w:tplc="C30E9C88" w:tentative="1">
      <w:start w:val="1"/>
      <w:numFmt w:val="bullet"/>
      <w:lvlText w:val="•"/>
      <w:lvlJc w:val="left"/>
      <w:pPr>
        <w:tabs>
          <w:tab w:val="num" w:pos="5760"/>
        </w:tabs>
        <w:ind w:left="5760" w:hanging="360"/>
      </w:pPr>
      <w:rPr>
        <w:rFonts w:ascii="Times New Roman" w:hAnsi="Times New Roman" w:hint="default"/>
      </w:rPr>
    </w:lvl>
    <w:lvl w:ilvl="8" w:tplc="896C79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A213DD"/>
    <w:multiLevelType w:val="hybridMultilevel"/>
    <w:tmpl w:val="392E1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5413A"/>
    <w:multiLevelType w:val="hybridMultilevel"/>
    <w:tmpl w:val="08060F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7B6297"/>
    <w:multiLevelType w:val="hybridMultilevel"/>
    <w:tmpl w:val="839EBC96"/>
    <w:lvl w:ilvl="0" w:tplc="6C6856C2">
      <w:start w:val="1"/>
      <w:numFmt w:val="lowerLetter"/>
      <w:lvlText w:val="%1)"/>
      <w:lvlJc w:val="left"/>
      <w:pPr>
        <w:ind w:left="720" w:hanging="360"/>
      </w:pPr>
      <w:rPr>
        <w:rFonts w:hint="default"/>
        <w:b/>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2D7C7A"/>
    <w:multiLevelType w:val="hybridMultilevel"/>
    <w:tmpl w:val="39FE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1031C"/>
    <w:multiLevelType w:val="hybridMultilevel"/>
    <w:tmpl w:val="96DAB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7258F"/>
    <w:multiLevelType w:val="hybridMultilevel"/>
    <w:tmpl w:val="4000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D4509"/>
    <w:multiLevelType w:val="hybridMultilevel"/>
    <w:tmpl w:val="77C09872"/>
    <w:lvl w:ilvl="0" w:tplc="DD06B8F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9D7EBC"/>
    <w:multiLevelType w:val="hybridMultilevel"/>
    <w:tmpl w:val="6B0E5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2E1E7E"/>
    <w:multiLevelType w:val="hybridMultilevel"/>
    <w:tmpl w:val="0330A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073A07"/>
    <w:multiLevelType w:val="hybridMultilevel"/>
    <w:tmpl w:val="AB404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5013FD"/>
    <w:multiLevelType w:val="hybridMultilevel"/>
    <w:tmpl w:val="29669A70"/>
    <w:lvl w:ilvl="0" w:tplc="62D4DE86">
      <w:start w:val="1"/>
      <w:numFmt w:val="bullet"/>
      <w:lvlText w:val="•"/>
      <w:lvlJc w:val="left"/>
      <w:pPr>
        <w:tabs>
          <w:tab w:val="num" w:pos="720"/>
        </w:tabs>
        <w:ind w:left="720" w:hanging="360"/>
      </w:pPr>
      <w:rPr>
        <w:rFonts w:ascii="Times New Roman" w:hAnsi="Times New Roman" w:hint="default"/>
      </w:rPr>
    </w:lvl>
    <w:lvl w:ilvl="1" w:tplc="7F4E4916" w:tentative="1">
      <w:start w:val="1"/>
      <w:numFmt w:val="bullet"/>
      <w:lvlText w:val="•"/>
      <w:lvlJc w:val="left"/>
      <w:pPr>
        <w:tabs>
          <w:tab w:val="num" w:pos="1440"/>
        </w:tabs>
        <w:ind w:left="1440" w:hanging="360"/>
      </w:pPr>
      <w:rPr>
        <w:rFonts w:ascii="Times New Roman" w:hAnsi="Times New Roman" w:hint="default"/>
      </w:rPr>
    </w:lvl>
    <w:lvl w:ilvl="2" w:tplc="483472F8" w:tentative="1">
      <w:start w:val="1"/>
      <w:numFmt w:val="bullet"/>
      <w:lvlText w:val="•"/>
      <w:lvlJc w:val="left"/>
      <w:pPr>
        <w:tabs>
          <w:tab w:val="num" w:pos="2160"/>
        </w:tabs>
        <w:ind w:left="2160" w:hanging="360"/>
      </w:pPr>
      <w:rPr>
        <w:rFonts w:ascii="Times New Roman" w:hAnsi="Times New Roman" w:hint="default"/>
      </w:rPr>
    </w:lvl>
    <w:lvl w:ilvl="3" w:tplc="FA6C9D3C" w:tentative="1">
      <w:start w:val="1"/>
      <w:numFmt w:val="bullet"/>
      <w:lvlText w:val="•"/>
      <w:lvlJc w:val="left"/>
      <w:pPr>
        <w:tabs>
          <w:tab w:val="num" w:pos="2880"/>
        </w:tabs>
        <w:ind w:left="2880" w:hanging="360"/>
      </w:pPr>
      <w:rPr>
        <w:rFonts w:ascii="Times New Roman" w:hAnsi="Times New Roman" w:hint="default"/>
      </w:rPr>
    </w:lvl>
    <w:lvl w:ilvl="4" w:tplc="6CF46C3C" w:tentative="1">
      <w:start w:val="1"/>
      <w:numFmt w:val="bullet"/>
      <w:lvlText w:val="•"/>
      <w:lvlJc w:val="left"/>
      <w:pPr>
        <w:tabs>
          <w:tab w:val="num" w:pos="3600"/>
        </w:tabs>
        <w:ind w:left="3600" w:hanging="360"/>
      </w:pPr>
      <w:rPr>
        <w:rFonts w:ascii="Times New Roman" w:hAnsi="Times New Roman" w:hint="default"/>
      </w:rPr>
    </w:lvl>
    <w:lvl w:ilvl="5" w:tplc="C78AADEE" w:tentative="1">
      <w:start w:val="1"/>
      <w:numFmt w:val="bullet"/>
      <w:lvlText w:val="•"/>
      <w:lvlJc w:val="left"/>
      <w:pPr>
        <w:tabs>
          <w:tab w:val="num" w:pos="4320"/>
        </w:tabs>
        <w:ind w:left="4320" w:hanging="360"/>
      </w:pPr>
      <w:rPr>
        <w:rFonts w:ascii="Times New Roman" w:hAnsi="Times New Roman" w:hint="default"/>
      </w:rPr>
    </w:lvl>
    <w:lvl w:ilvl="6" w:tplc="F6B8A538" w:tentative="1">
      <w:start w:val="1"/>
      <w:numFmt w:val="bullet"/>
      <w:lvlText w:val="•"/>
      <w:lvlJc w:val="left"/>
      <w:pPr>
        <w:tabs>
          <w:tab w:val="num" w:pos="5040"/>
        </w:tabs>
        <w:ind w:left="5040" w:hanging="360"/>
      </w:pPr>
      <w:rPr>
        <w:rFonts w:ascii="Times New Roman" w:hAnsi="Times New Roman" w:hint="default"/>
      </w:rPr>
    </w:lvl>
    <w:lvl w:ilvl="7" w:tplc="BFAEE9C2" w:tentative="1">
      <w:start w:val="1"/>
      <w:numFmt w:val="bullet"/>
      <w:lvlText w:val="•"/>
      <w:lvlJc w:val="left"/>
      <w:pPr>
        <w:tabs>
          <w:tab w:val="num" w:pos="5760"/>
        </w:tabs>
        <w:ind w:left="5760" w:hanging="360"/>
      </w:pPr>
      <w:rPr>
        <w:rFonts w:ascii="Times New Roman" w:hAnsi="Times New Roman" w:hint="default"/>
      </w:rPr>
    </w:lvl>
    <w:lvl w:ilvl="8" w:tplc="71FAF7C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68C28DA"/>
    <w:multiLevelType w:val="hybridMultilevel"/>
    <w:tmpl w:val="D87E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65526"/>
    <w:multiLevelType w:val="hybridMultilevel"/>
    <w:tmpl w:val="1D7A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82460C"/>
    <w:multiLevelType w:val="hybridMultilevel"/>
    <w:tmpl w:val="D5B285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114DE"/>
    <w:multiLevelType w:val="hybridMultilevel"/>
    <w:tmpl w:val="8E4A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436211">
    <w:abstractNumId w:val="13"/>
  </w:num>
  <w:num w:numId="2" w16cid:durableId="447547646">
    <w:abstractNumId w:val="6"/>
  </w:num>
  <w:num w:numId="3" w16cid:durableId="816924080">
    <w:abstractNumId w:val="5"/>
  </w:num>
  <w:num w:numId="4" w16cid:durableId="2066486994">
    <w:abstractNumId w:val="8"/>
  </w:num>
  <w:num w:numId="5" w16cid:durableId="2031835599">
    <w:abstractNumId w:val="9"/>
  </w:num>
  <w:num w:numId="6" w16cid:durableId="1160539723">
    <w:abstractNumId w:val="20"/>
  </w:num>
  <w:num w:numId="7" w16cid:durableId="267202572">
    <w:abstractNumId w:val="24"/>
  </w:num>
  <w:num w:numId="8" w16cid:durableId="741411291">
    <w:abstractNumId w:val="15"/>
  </w:num>
  <w:num w:numId="9" w16cid:durableId="169218225">
    <w:abstractNumId w:val="21"/>
  </w:num>
  <w:num w:numId="10" w16cid:durableId="1029259324">
    <w:abstractNumId w:val="12"/>
  </w:num>
  <w:num w:numId="11" w16cid:durableId="985352869">
    <w:abstractNumId w:val="0"/>
  </w:num>
  <w:num w:numId="12" w16cid:durableId="130951807">
    <w:abstractNumId w:val="11"/>
  </w:num>
  <w:num w:numId="13" w16cid:durableId="342364378">
    <w:abstractNumId w:val="16"/>
  </w:num>
  <w:num w:numId="14" w16cid:durableId="869295197">
    <w:abstractNumId w:val="3"/>
  </w:num>
  <w:num w:numId="15" w16cid:durableId="1081487387">
    <w:abstractNumId w:val="1"/>
  </w:num>
  <w:num w:numId="16" w16cid:durableId="1271085330">
    <w:abstractNumId w:val="10"/>
  </w:num>
  <w:num w:numId="17" w16cid:durableId="646669317">
    <w:abstractNumId w:val="23"/>
  </w:num>
  <w:num w:numId="18" w16cid:durableId="35590481">
    <w:abstractNumId w:val="4"/>
  </w:num>
  <w:num w:numId="19" w16cid:durableId="295646962">
    <w:abstractNumId w:val="7"/>
  </w:num>
  <w:num w:numId="20" w16cid:durableId="1935435772">
    <w:abstractNumId w:val="19"/>
  </w:num>
  <w:num w:numId="21" w16cid:durableId="306862608">
    <w:abstractNumId w:val="17"/>
  </w:num>
  <w:num w:numId="22" w16cid:durableId="1190334411">
    <w:abstractNumId w:val="2"/>
  </w:num>
  <w:num w:numId="23" w16cid:durableId="1452944035">
    <w:abstractNumId w:val="18"/>
  </w:num>
  <w:num w:numId="24" w16cid:durableId="1050348880">
    <w:abstractNumId w:val="22"/>
  </w:num>
  <w:num w:numId="25" w16cid:durableId="978998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94"/>
    <w:rsid w:val="00002577"/>
    <w:rsid w:val="00026D67"/>
    <w:rsid w:val="00086D41"/>
    <w:rsid w:val="0009757B"/>
    <w:rsid w:val="000C1A3D"/>
    <w:rsid w:val="000C3D4F"/>
    <w:rsid w:val="000E5C7F"/>
    <w:rsid w:val="000F18D7"/>
    <w:rsid w:val="00146470"/>
    <w:rsid w:val="00157433"/>
    <w:rsid w:val="00157792"/>
    <w:rsid w:val="00176298"/>
    <w:rsid w:val="001801B0"/>
    <w:rsid w:val="001948D9"/>
    <w:rsid w:val="00197DFB"/>
    <w:rsid w:val="001B1918"/>
    <w:rsid w:val="001B5ED8"/>
    <w:rsid w:val="001B6E40"/>
    <w:rsid w:val="001E6B89"/>
    <w:rsid w:val="00201505"/>
    <w:rsid w:val="0021098F"/>
    <w:rsid w:val="00220CF9"/>
    <w:rsid w:val="00242D12"/>
    <w:rsid w:val="00243174"/>
    <w:rsid w:val="0028708F"/>
    <w:rsid w:val="00292E7D"/>
    <w:rsid w:val="002C22D6"/>
    <w:rsid w:val="002E49D6"/>
    <w:rsid w:val="002F1BCB"/>
    <w:rsid w:val="00320DFE"/>
    <w:rsid w:val="00353F34"/>
    <w:rsid w:val="00354A2F"/>
    <w:rsid w:val="00363539"/>
    <w:rsid w:val="003661D1"/>
    <w:rsid w:val="00376801"/>
    <w:rsid w:val="003A124F"/>
    <w:rsid w:val="003A4299"/>
    <w:rsid w:val="003C0CAE"/>
    <w:rsid w:val="003D382E"/>
    <w:rsid w:val="0040501F"/>
    <w:rsid w:val="00412013"/>
    <w:rsid w:val="0042388B"/>
    <w:rsid w:val="00432D9E"/>
    <w:rsid w:val="004351C1"/>
    <w:rsid w:val="004632DA"/>
    <w:rsid w:val="004715C0"/>
    <w:rsid w:val="004D5D56"/>
    <w:rsid w:val="004D7B71"/>
    <w:rsid w:val="004E46F0"/>
    <w:rsid w:val="004E77C2"/>
    <w:rsid w:val="004F474D"/>
    <w:rsid w:val="005129DC"/>
    <w:rsid w:val="0051700D"/>
    <w:rsid w:val="00524598"/>
    <w:rsid w:val="0053048D"/>
    <w:rsid w:val="0055386A"/>
    <w:rsid w:val="00570DB1"/>
    <w:rsid w:val="00586FCB"/>
    <w:rsid w:val="005A2F1E"/>
    <w:rsid w:val="005B7136"/>
    <w:rsid w:val="00612AC8"/>
    <w:rsid w:val="00624E09"/>
    <w:rsid w:val="006307B6"/>
    <w:rsid w:val="00641D7E"/>
    <w:rsid w:val="00653882"/>
    <w:rsid w:val="00654E09"/>
    <w:rsid w:val="00660317"/>
    <w:rsid w:val="00662C96"/>
    <w:rsid w:val="00680F2A"/>
    <w:rsid w:val="00691FAF"/>
    <w:rsid w:val="00692A0D"/>
    <w:rsid w:val="006D0ABB"/>
    <w:rsid w:val="006D1548"/>
    <w:rsid w:val="006F5661"/>
    <w:rsid w:val="00700E43"/>
    <w:rsid w:val="00731265"/>
    <w:rsid w:val="00731F82"/>
    <w:rsid w:val="00743D30"/>
    <w:rsid w:val="0074775F"/>
    <w:rsid w:val="00750DB6"/>
    <w:rsid w:val="00761A48"/>
    <w:rsid w:val="007970DD"/>
    <w:rsid w:val="00797EE3"/>
    <w:rsid w:val="007A10B8"/>
    <w:rsid w:val="007A47E4"/>
    <w:rsid w:val="007A5D33"/>
    <w:rsid w:val="007E4439"/>
    <w:rsid w:val="00814497"/>
    <w:rsid w:val="0082306D"/>
    <w:rsid w:val="008A264E"/>
    <w:rsid w:val="008A4A5B"/>
    <w:rsid w:val="008B2ED3"/>
    <w:rsid w:val="008C30E4"/>
    <w:rsid w:val="008D796B"/>
    <w:rsid w:val="008F1A89"/>
    <w:rsid w:val="008F3374"/>
    <w:rsid w:val="008F63E3"/>
    <w:rsid w:val="0090598F"/>
    <w:rsid w:val="00907D14"/>
    <w:rsid w:val="00924644"/>
    <w:rsid w:val="00926E79"/>
    <w:rsid w:val="00930FFD"/>
    <w:rsid w:val="0094257D"/>
    <w:rsid w:val="00953097"/>
    <w:rsid w:val="0097780B"/>
    <w:rsid w:val="00986490"/>
    <w:rsid w:val="009B51A1"/>
    <w:rsid w:val="009C143A"/>
    <w:rsid w:val="009D28E7"/>
    <w:rsid w:val="009D623F"/>
    <w:rsid w:val="009E0A96"/>
    <w:rsid w:val="009E1DF9"/>
    <w:rsid w:val="00A070C3"/>
    <w:rsid w:val="00A100EA"/>
    <w:rsid w:val="00A119BA"/>
    <w:rsid w:val="00A14CFA"/>
    <w:rsid w:val="00A325C1"/>
    <w:rsid w:val="00A35278"/>
    <w:rsid w:val="00A7779A"/>
    <w:rsid w:val="00A77B59"/>
    <w:rsid w:val="00A8511F"/>
    <w:rsid w:val="00A852F6"/>
    <w:rsid w:val="00A9722E"/>
    <w:rsid w:val="00AB3527"/>
    <w:rsid w:val="00AD4DE3"/>
    <w:rsid w:val="00AF65F5"/>
    <w:rsid w:val="00B433DA"/>
    <w:rsid w:val="00B50029"/>
    <w:rsid w:val="00B554A8"/>
    <w:rsid w:val="00B55521"/>
    <w:rsid w:val="00B734CC"/>
    <w:rsid w:val="00B9150B"/>
    <w:rsid w:val="00BA1579"/>
    <w:rsid w:val="00BD5BA4"/>
    <w:rsid w:val="00BF5D31"/>
    <w:rsid w:val="00C11F3F"/>
    <w:rsid w:val="00C44CF6"/>
    <w:rsid w:val="00C92D74"/>
    <w:rsid w:val="00CD35B7"/>
    <w:rsid w:val="00CD7FB8"/>
    <w:rsid w:val="00CE7FA7"/>
    <w:rsid w:val="00D01EBD"/>
    <w:rsid w:val="00D0375D"/>
    <w:rsid w:val="00D07A9F"/>
    <w:rsid w:val="00D07E9E"/>
    <w:rsid w:val="00D33E22"/>
    <w:rsid w:val="00D519E9"/>
    <w:rsid w:val="00D66B65"/>
    <w:rsid w:val="00D831AF"/>
    <w:rsid w:val="00D86132"/>
    <w:rsid w:val="00D9312C"/>
    <w:rsid w:val="00D94A4F"/>
    <w:rsid w:val="00DB2FDD"/>
    <w:rsid w:val="00DB776E"/>
    <w:rsid w:val="00DC04DA"/>
    <w:rsid w:val="00DD3AF4"/>
    <w:rsid w:val="00DF2960"/>
    <w:rsid w:val="00DF6FE2"/>
    <w:rsid w:val="00E112C5"/>
    <w:rsid w:val="00E27FF9"/>
    <w:rsid w:val="00E4594D"/>
    <w:rsid w:val="00E64E23"/>
    <w:rsid w:val="00E74394"/>
    <w:rsid w:val="00E77C34"/>
    <w:rsid w:val="00E8734F"/>
    <w:rsid w:val="00EE234C"/>
    <w:rsid w:val="00EE51D1"/>
    <w:rsid w:val="00EE6519"/>
    <w:rsid w:val="00EF0203"/>
    <w:rsid w:val="00F14583"/>
    <w:rsid w:val="00F14A76"/>
    <w:rsid w:val="00F21608"/>
    <w:rsid w:val="00F45160"/>
    <w:rsid w:val="00F622F0"/>
    <w:rsid w:val="00FB5355"/>
    <w:rsid w:val="00FC368C"/>
    <w:rsid w:val="00FC50AE"/>
    <w:rsid w:val="00FD53B6"/>
    <w:rsid w:val="00FD6016"/>
    <w:rsid w:val="00FD6169"/>
    <w:rsid w:val="00FE1E81"/>
    <w:rsid w:val="00FE1F62"/>
    <w:rsid w:val="00FE4BFC"/>
    <w:rsid w:val="00FF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FC8D1"/>
  <w15:chartTrackingRefBased/>
  <w15:docId w15:val="{1B22012A-4078-4A00-8F1E-67751F0F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4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74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394"/>
    <w:rPr>
      <w:rFonts w:eastAsiaTheme="majorEastAsia" w:cstheme="majorBidi"/>
      <w:color w:val="272727" w:themeColor="text1" w:themeTint="D8"/>
    </w:rPr>
  </w:style>
  <w:style w:type="paragraph" w:styleId="Title">
    <w:name w:val="Title"/>
    <w:basedOn w:val="Normal"/>
    <w:next w:val="Normal"/>
    <w:link w:val="TitleChar"/>
    <w:uiPriority w:val="10"/>
    <w:qFormat/>
    <w:rsid w:val="00E74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394"/>
    <w:pPr>
      <w:spacing w:before="160"/>
      <w:jc w:val="center"/>
    </w:pPr>
    <w:rPr>
      <w:i/>
      <w:iCs/>
      <w:color w:val="404040" w:themeColor="text1" w:themeTint="BF"/>
    </w:rPr>
  </w:style>
  <w:style w:type="character" w:customStyle="1" w:styleId="QuoteChar">
    <w:name w:val="Quote Char"/>
    <w:basedOn w:val="DefaultParagraphFont"/>
    <w:link w:val="Quote"/>
    <w:uiPriority w:val="29"/>
    <w:rsid w:val="00E74394"/>
    <w:rPr>
      <w:i/>
      <w:iCs/>
      <w:color w:val="404040" w:themeColor="text1" w:themeTint="BF"/>
    </w:rPr>
  </w:style>
  <w:style w:type="paragraph" w:styleId="ListParagraph">
    <w:name w:val="List Paragraph"/>
    <w:basedOn w:val="Normal"/>
    <w:uiPriority w:val="34"/>
    <w:qFormat/>
    <w:rsid w:val="00E74394"/>
    <w:pPr>
      <w:ind w:left="720"/>
      <w:contextualSpacing/>
    </w:pPr>
  </w:style>
  <w:style w:type="character" w:styleId="IntenseEmphasis">
    <w:name w:val="Intense Emphasis"/>
    <w:basedOn w:val="DefaultParagraphFont"/>
    <w:uiPriority w:val="21"/>
    <w:qFormat/>
    <w:rsid w:val="00E74394"/>
    <w:rPr>
      <w:i/>
      <w:iCs/>
      <w:color w:val="0F4761" w:themeColor="accent1" w:themeShade="BF"/>
    </w:rPr>
  </w:style>
  <w:style w:type="paragraph" w:styleId="IntenseQuote">
    <w:name w:val="Intense Quote"/>
    <w:basedOn w:val="Normal"/>
    <w:next w:val="Normal"/>
    <w:link w:val="IntenseQuoteChar"/>
    <w:uiPriority w:val="30"/>
    <w:qFormat/>
    <w:rsid w:val="00E7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394"/>
    <w:rPr>
      <w:i/>
      <w:iCs/>
      <w:color w:val="0F4761" w:themeColor="accent1" w:themeShade="BF"/>
    </w:rPr>
  </w:style>
  <w:style w:type="character" w:styleId="IntenseReference">
    <w:name w:val="Intense Reference"/>
    <w:basedOn w:val="DefaultParagraphFont"/>
    <w:uiPriority w:val="32"/>
    <w:qFormat/>
    <w:rsid w:val="00E74394"/>
    <w:rPr>
      <w:b/>
      <w:bCs/>
      <w:smallCaps/>
      <w:color w:val="0F4761" w:themeColor="accent1" w:themeShade="BF"/>
      <w:spacing w:val="5"/>
    </w:rPr>
  </w:style>
  <w:style w:type="paragraph" w:customStyle="1" w:styleId="p">
    <w:name w:val="p"/>
    <w:basedOn w:val="Normal"/>
    <w:rsid w:val="005B7136"/>
    <w:pPr>
      <w:spacing w:before="100" w:beforeAutospacing="1" w:after="100" w:afterAutospacing="1" w:line="240" w:lineRule="auto"/>
    </w:pPr>
    <w:rPr>
      <w:rFonts w:ascii="Times New Roman" w:eastAsia="Times New Roman" w:hAnsi="Times New Roman" w:cs="Times New Roman"/>
      <w:kern w:val="0"/>
      <w:lang w:val="es-MX" w:eastAsia="es-MX"/>
    </w:rPr>
  </w:style>
  <w:style w:type="table" w:customStyle="1" w:styleId="Tablaconcuadrcula5oscura-nfasis31">
    <w:name w:val="Tabla con cuadrícula 5 oscura - Énfasis 31"/>
    <w:basedOn w:val="TableNormal"/>
    <w:uiPriority w:val="50"/>
    <w:rsid w:val="0051700D"/>
    <w:pPr>
      <w:spacing w:after="0" w:line="240" w:lineRule="auto"/>
    </w:pPr>
    <w:rPr>
      <w:kern w:val="0"/>
      <w:sz w:val="22"/>
      <w:szCs w:val="22"/>
      <w:lang w:val="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styleId="Caption">
    <w:name w:val="caption"/>
    <w:basedOn w:val="Normal"/>
    <w:next w:val="Normal"/>
    <w:uiPriority w:val="35"/>
    <w:unhideWhenUsed/>
    <w:qFormat/>
    <w:rsid w:val="0051700D"/>
    <w:pPr>
      <w:spacing w:after="200" w:line="240" w:lineRule="auto"/>
    </w:pPr>
    <w:rPr>
      <w:i/>
      <w:iCs/>
      <w:color w:val="0E2841" w:themeColor="text2"/>
      <w:sz w:val="18"/>
      <w:szCs w:val="18"/>
      <w:lang w:val="es-MX"/>
    </w:rPr>
  </w:style>
  <w:style w:type="table" w:styleId="PlainTable1">
    <w:name w:val="Plain Table 1"/>
    <w:basedOn w:val="TableNormal"/>
    <w:uiPriority w:val="41"/>
    <w:rsid w:val="00654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2388B"/>
    <w:pPr>
      <w:spacing w:after="0" w:line="240" w:lineRule="auto"/>
    </w:pPr>
    <w:rPr>
      <w:kern w:val="0"/>
      <w:sz w:val="22"/>
      <w:szCs w:val="22"/>
      <w:lang w:val="es-MX"/>
      <w14:ligatures w14:val="none"/>
    </w:rPr>
  </w:style>
  <w:style w:type="table" w:styleId="PlainTable4">
    <w:name w:val="Plain Table 4"/>
    <w:basedOn w:val="TableNormal"/>
    <w:uiPriority w:val="44"/>
    <w:rsid w:val="00353F34"/>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9722E"/>
    <w:rPr>
      <w:color w:val="467886" w:themeColor="hyperlink"/>
      <w:u w:val="single"/>
    </w:rPr>
  </w:style>
  <w:style w:type="character" w:styleId="UnresolvedMention">
    <w:name w:val="Unresolved Mention"/>
    <w:basedOn w:val="DefaultParagraphFont"/>
    <w:uiPriority w:val="99"/>
    <w:semiHidden/>
    <w:unhideWhenUsed/>
    <w:rsid w:val="00A9722E"/>
    <w:rPr>
      <w:color w:val="605E5C"/>
      <w:shd w:val="clear" w:color="auto" w:fill="E1DFDD"/>
    </w:rPr>
  </w:style>
  <w:style w:type="paragraph" w:styleId="NormalWeb">
    <w:name w:val="Normal (Web)"/>
    <w:basedOn w:val="Normal"/>
    <w:uiPriority w:val="99"/>
    <w:semiHidden/>
    <w:unhideWhenUsed/>
    <w:rsid w:val="00641D7E"/>
    <w:rPr>
      <w:rFonts w:ascii="Times New Roman" w:hAnsi="Times New Roman" w:cs="Times New Roman"/>
    </w:rPr>
  </w:style>
  <w:style w:type="table" w:customStyle="1" w:styleId="Tablaconcuadrcula2-nfasis31">
    <w:name w:val="Tabla con cuadrícula 2 - Énfasis 31"/>
    <w:basedOn w:val="TableNormal"/>
    <w:uiPriority w:val="47"/>
    <w:rsid w:val="00AD4DE3"/>
    <w:pPr>
      <w:spacing w:after="0" w:line="240" w:lineRule="auto"/>
    </w:pPr>
    <w:rPr>
      <w:kern w:val="0"/>
      <w:sz w:val="22"/>
      <w:szCs w:val="22"/>
      <w:lang w:val="es-MX"/>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
    <w:name w:val="Table Grid"/>
    <w:basedOn w:val="TableNormal"/>
    <w:uiPriority w:val="39"/>
    <w:rsid w:val="0090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B6E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252">
      <w:bodyDiv w:val="1"/>
      <w:marLeft w:val="0"/>
      <w:marRight w:val="0"/>
      <w:marTop w:val="0"/>
      <w:marBottom w:val="0"/>
      <w:divBdr>
        <w:top w:val="none" w:sz="0" w:space="0" w:color="auto"/>
        <w:left w:val="none" w:sz="0" w:space="0" w:color="auto"/>
        <w:bottom w:val="none" w:sz="0" w:space="0" w:color="auto"/>
        <w:right w:val="none" w:sz="0" w:space="0" w:color="auto"/>
      </w:divBdr>
    </w:div>
    <w:div w:id="9140998">
      <w:bodyDiv w:val="1"/>
      <w:marLeft w:val="0"/>
      <w:marRight w:val="0"/>
      <w:marTop w:val="0"/>
      <w:marBottom w:val="0"/>
      <w:divBdr>
        <w:top w:val="none" w:sz="0" w:space="0" w:color="auto"/>
        <w:left w:val="none" w:sz="0" w:space="0" w:color="auto"/>
        <w:bottom w:val="none" w:sz="0" w:space="0" w:color="auto"/>
        <w:right w:val="none" w:sz="0" w:space="0" w:color="auto"/>
      </w:divBdr>
    </w:div>
    <w:div w:id="65567852">
      <w:bodyDiv w:val="1"/>
      <w:marLeft w:val="0"/>
      <w:marRight w:val="0"/>
      <w:marTop w:val="0"/>
      <w:marBottom w:val="0"/>
      <w:divBdr>
        <w:top w:val="none" w:sz="0" w:space="0" w:color="auto"/>
        <w:left w:val="none" w:sz="0" w:space="0" w:color="auto"/>
        <w:bottom w:val="none" w:sz="0" w:space="0" w:color="auto"/>
        <w:right w:val="none" w:sz="0" w:space="0" w:color="auto"/>
      </w:divBdr>
    </w:div>
    <w:div w:id="117115742">
      <w:bodyDiv w:val="1"/>
      <w:marLeft w:val="0"/>
      <w:marRight w:val="0"/>
      <w:marTop w:val="0"/>
      <w:marBottom w:val="0"/>
      <w:divBdr>
        <w:top w:val="none" w:sz="0" w:space="0" w:color="auto"/>
        <w:left w:val="none" w:sz="0" w:space="0" w:color="auto"/>
        <w:bottom w:val="none" w:sz="0" w:space="0" w:color="auto"/>
        <w:right w:val="none" w:sz="0" w:space="0" w:color="auto"/>
      </w:divBdr>
    </w:div>
    <w:div w:id="147744425">
      <w:bodyDiv w:val="1"/>
      <w:marLeft w:val="0"/>
      <w:marRight w:val="0"/>
      <w:marTop w:val="0"/>
      <w:marBottom w:val="0"/>
      <w:divBdr>
        <w:top w:val="none" w:sz="0" w:space="0" w:color="auto"/>
        <w:left w:val="none" w:sz="0" w:space="0" w:color="auto"/>
        <w:bottom w:val="none" w:sz="0" w:space="0" w:color="auto"/>
        <w:right w:val="none" w:sz="0" w:space="0" w:color="auto"/>
      </w:divBdr>
    </w:div>
    <w:div w:id="339965454">
      <w:bodyDiv w:val="1"/>
      <w:marLeft w:val="0"/>
      <w:marRight w:val="0"/>
      <w:marTop w:val="0"/>
      <w:marBottom w:val="0"/>
      <w:divBdr>
        <w:top w:val="none" w:sz="0" w:space="0" w:color="auto"/>
        <w:left w:val="none" w:sz="0" w:space="0" w:color="auto"/>
        <w:bottom w:val="none" w:sz="0" w:space="0" w:color="auto"/>
        <w:right w:val="none" w:sz="0" w:space="0" w:color="auto"/>
      </w:divBdr>
    </w:div>
    <w:div w:id="372770667">
      <w:bodyDiv w:val="1"/>
      <w:marLeft w:val="0"/>
      <w:marRight w:val="0"/>
      <w:marTop w:val="0"/>
      <w:marBottom w:val="0"/>
      <w:divBdr>
        <w:top w:val="none" w:sz="0" w:space="0" w:color="auto"/>
        <w:left w:val="none" w:sz="0" w:space="0" w:color="auto"/>
        <w:bottom w:val="none" w:sz="0" w:space="0" w:color="auto"/>
        <w:right w:val="none" w:sz="0" w:space="0" w:color="auto"/>
      </w:divBdr>
    </w:div>
    <w:div w:id="391664142">
      <w:bodyDiv w:val="1"/>
      <w:marLeft w:val="0"/>
      <w:marRight w:val="0"/>
      <w:marTop w:val="0"/>
      <w:marBottom w:val="0"/>
      <w:divBdr>
        <w:top w:val="none" w:sz="0" w:space="0" w:color="auto"/>
        <w:left w:val="none" w:sz="0" w:space="0" w:color="auto"/>
        <w:bottom w:val="none" w:sz="0" w:space="0" w:color="auto"/>
        <w:right w:val="none" w:sz="0" w:space="0" w:color="auto"/>
      </w:divBdr>
      <w:divsChild>
        <w:div w:id="128989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00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393211">
      <w:bodyDiv w:val="1"/>
      <w:marLeft w:val="0"/>
      <w:marRight w:val="0"/>
      <w:marTop w:val="0"/>
      <w:marBottom w:val="0"/>
      <w:divBdr>
        <w:top w:val="none" w:sz="0" w:space="0" w:color="auto"/>
        <w:left w:val="none" w:sz="0" w:space="0" w:color="auto"/>
        <w:bottom w:val="none" w:sz="0" w:space="0" w:color="auto"/>
        <w:right w:val="none" w:sz="0" w:space="0" w:color="auto"/>
      </w:divBdr>
    </w:div>
    <w:div w:id="491945402">
      <w:bodyDiv w:val="1"/>
      <w:marLeft w:val="0"/>
      <w:marRight w:val="0"/>
      <w:marTop w:val="0"/>
      <w:marBottom w:val="0"/>
      <w:divBdr>
        <w:top w:val="none" w:sz="0" w:space="0" w:color="auto"/>
        <w:left w:val="none" w:sz="0" w:space="0" w:color="auto"/>
        <w:bottom w:val="none" w:sz="0" w:space="0" w:color="auto"/>
        <w:right w:val="none" w:sz="0" w:space="0" w:color="auto"/>
      </w:divBdr>
    </w:div>
    <w:div w:id="534737497">
      <w:bodyDiv w:val="1"/>
      <w:marLeft w:val="0"/>
      <w:marRight w:val="0"/>
      <w:marTop w:val="0"/>
      <w:marBottom w:val="0"/>
      <w:divBdr>
        <w:top w:val="none" w:sz="0" w:space="0" w:color="auto"/>
        <w:left w:val="none" w:sz="0" w:space="0" w:color="auto"/>
        <w:bottom w:val="none" w:sz="0" w:space="0" w:color="auto"/>
        <w:right w:val="none" w:sz="0" w:space="0" w:color="auto"/>
      </w:divBdr>
    </w:div>
    <w:div w:id="541357693">
      <w:bodyDiv w:val="1"/>
      <w:marLeft w:val="0"/>
      <w:marRight w:val="0"/>
      <w:marTop w:val="0"/>
      <w:marBottom w:val="0"/>
      <w:divBdr>
        <w:top w:val="none" w:sz="0" w:space="0" w:color="auto"/>
        <w:left w:val="none" w:sz="0" w:space="0" w:color="auto"/>
        <w:bottom w:val="none" w:sz="0" w:space="0" w:color="auto"/>
        <w:right w:val="none" w:sz="0" w:space="0" w:color="auto"/>
      </w:divBdr>
    </w:div>
    <w:div w:id="608699606">
      <w:bodyDiv w:val="1"/>
      <w:marLeft w:val="0"/>
      <w:marRight w:val="0"/>
      <w:marTop w:val="0"/>
      <w:marBottom w:val="0"/>
      <w:divBdr>
        <w:top w:val="none" w:sz="0" w:space="0" w:color="auto"/>
        <w:left w:val="none" w:sz="0" w:space="0" w:color="auto"/>
        <w:bottom w:val="none" w:sz="0" w:space="0" w:color="auto"/>
        <w:right w:val="none" w:sz="0" w:space="0" w:color="auto"/>
      </w:divBdr>
    </w:div>
    <w:div w:id="652104895">
      <w:bodyDiv w:val="1"/>
      <w:marLeft w:val="0"/>
      <w:marRight w:val="0"/>
      <w:marTop w:val="0"/>
      <w:marBottom w:val="0"/>
      <w:divBdr>
        <w:top w:val="none" w:sz="0" w:space="0" w:color="auto"/>
        <w:left w:val="none" w:sz="0" w:space="0" w:color="auto"/>
        <w:bottom w:val="none" w:sz="0" w:space="0" w:color="auto"/>
        <w:right w:val="none" w:sz="0" w:space="0" w:color="auto"/>
      </w:divBdr>
    </w:div>
    <w:div w:id="684477642">
      <w:bodyDiv w:val="1"/>
      <w:marLeft w:val="0"/>
      <w:marRight w:val="0"/>
      <w:marTop w:val="0"/>
      <w:marBottom w:val="0"/>
      <w:divBdr>
        <w:top w:val="none" w:sz="0" w:space="0" w:color="auto"/>
        <w:left w:val="none" w:sz="0" w:space="0" w:color="auto"/>
        <w:bottom w:val="none" w:sz="0" w:space="0" w:color="auto"/>
        <w:right w:val="none" w:sz="0" w:space="0" w:color="auto"/>
      </w:divBdr>
      <w:divsChild>
        <w:div w:id="1974213430">
          <w:marLeft w:val="0"/>
          <w:marRight w:val="0"/>
          <w:marTop w:val="0"/>
          <w:marBottom w:val="0"/>
          <w:divBdr>
            <w:top w:val="none" w:sz="0" w:space="0" w:color="auto"/>
            <w:left w:val="none" w:sz="0" w:space="0" w:color="auto"/>
            <w:bottom w:val="none" w:sz="0" w:space="0" w:color="auto"/>
            <w:right w:val="none" w:sz="0" w:space="0" w:color="auto"/>
          </w:divBdr>
        </w:div>
        <w:div w:id="67115014">
          <w:marLeft w:val="0"/>
          <w:marRight w:val="0"/>
          <w:marTop w:val="0"/>
          <w:marBottom w:val="0"/>
          <w:divBdr>
            <w:top w:val="none" w:sz="0" w:space="0" w:color="auto"/>
            <w:left w:val="none" w:sz="0" w:space="0" w:color="auto"/>
            <w:bottom w:val="none" w:sz="0" w:space="0" w:color="auto"/>
            <w:right w:val="none" w:sz="0" w:space="0" w:color="auto"/>
          </w:divBdr>
        </w:div>
      </w:divsChild>
    </w:div>
    <w:div w:id="723986988">
      <w:bodyDiv w:val="1"/>
      <w:marLeft w:val="0"/>
      <w:marRight w:val="0"/>
      <w:marTop w:val="0"/>
      <w:marBottom w:val="0"/>
      <w:divBdr>
        <w:top w:val="none" w:sz="0" w:space="0" w:color="auto"/>
        <w:left w:val="none" w:sz="0" w:space="0" w:color="auto"/>
        <w:bottom w:val="none" w:sz="0" w:space="0" w:color="auto"/>
        <w:right w:val="none" w:sz="0" w:space="0" w:color="auto"/>
      </w:divBdr>
    </w:div>
    <w:div w:id="765075910">
      <w:bodyDiv w:val="1"/>
      <w:marLeft w:val="0"/>
      <w:marRight w:val="0"/>
      <w:marTop w:val="0"/>
      <w:marBottom w:val="0"/>
      <w:divBdr>
        <w:top w:val="none" w:sz="0" w:space="0" w:color="auto"/>
        <w:left w:val="none" w:sz="0" w:space="0" w:color="auto"/>
        <w:bottom w:val="none" w:sz="0" w:space="0" w:color="auto"/>
        <w:right w:val="none" w:sz="0" w:space="0" w:color="auto"/>
      </w:divBdr>
    </w:div>
    <w:div w:id="769472845">
      <w:bodyDiv w:val="1"/>
      <w:marLeft w:val="0"/>
      <w:marRight w:val="0"/>
      <w:marTop w:val="0"/>
      <w:marBottom w:val="0"/>
      <w:divBdr>
        <w:top w:val="none" w:sz="0" w:space="0" w:color="auto"/>
        <w:left w:val="none" w:sz="0" w:space="0" w:color="auto"/>
        <w:bottom w:val="none" w:sz="0" w:space="0" w:color="auto"/>
        <w:right w:val="none" w:sz="0" w:space="0" w:color="auto"/>
      </w:divBdr>
    </w:div>
    <w:div w:id="828178553">
      <w:bodyDiv w:val="1"/>
      <w:marLeft w:val="0"/>
      <w:marRight w:val="0"/>
      <w:marTop w:val="0"/>
      <w:marBottom w:val="0"/>
      <w:divBdr>
        <w:top w:val="none" w:sz="0" w:space="0" w:color="auto"/>
        <w:left w:val="none" w:sz="0" w:space="0" w:color="auto"/>
        <w:bottom w:val="none" w:sz="0" w:space="0" w:color="auto"/>
        <w:right w:val="none" w:sz="0" w:space="0" w:color="auto"/>
      </w:divBdr>
      <w:divsChild>
        <w:div w:id="1863856034">
          <w:marLeft w:val="0"/>
          <w:marRight w:val="0"/>
          <w:marTop w:val="0"/>
          <w:marBottom w:val="0"/>
          <w:divBdr>
            <w:top w:val="none" w:sz="0" w:space="0" w:color="auto"/>
            <w:left w:val="none" w:sz="0" w:space="0" w:color="auto"/>
            <w:bottom w:val="none" w:sz="0" w:space="0" w:color="auto"/>
            <w:right w:val="none" w:sz="0" w:space="0" w:color="auto"/>
          </w:divBdr>
        </w:div>
      </w:divsChild>
    </w:div>
    <w:div w:id="905338290">
      <w:bodyDiv w:val="1"/>
      <w:marLeft w:val="0"/>
      <w:marRight w:val="0"/>
      <w:marTop w:val="0"/>
      <w:marBottom w:val="0"/>
      <w:divBdr>
        <w:top w:val="none" w:sz="0" w:space="0" w:color="auto"/>
        <w:left w:val="none" w:sz="0" w:space="0" w:color="auto"/>
        <w:bottom w:val="none" w:sz="0" w:space="0" w:color="auto"/>
        <w:right w:val="none" w:sz="0" w:space="0" w:color="auto"/>
      </w:divBdr>
    </w:div>
    <w:div w:id="923225721">
      <w:bodyDiv w:val="1"/>
      <w:marLeft w:val="0"/>
      <w:marRight w:val="0"/>
      <w:marTop w:val="0"/>
      <w:marBottom w:val="0"/>
      <w:divBdr>
        <w:top w:val="none" w:sz="0" w:space="0" w:color="auto"/>
        <w:left w:val="none" w:sz="0" w:space="0" w:color="auto"/>
        <w:bottom w:val="none" w:sz="0" w:space="0" w:color="auto"/>
        <w:right w:val="none" w:sz="0" w:space="0" w:color="auto"/>
      </w:divBdr>
      <w:divsChild>
        <w:div w:id="1044793799">
          <w:marLeft w:val="0"/>
          <w:marRight w:val="0"/>
          <w:marTop w:val="0"/>
          <w:marBottom w:val="0"/>
          <w:divBdr>
            <w:top w:val="none" w:sz="0" w:space="0" w:color="auto"/>
            <w:left w:val="none" w:sz="0" w:space="0" w:color="auto"/>
            <w:bottom w:val="none" w:sz="0" w:space="0" w:color="auto"/>
            <w:right w:val="none" w:sz="0" w:space="0" w:color="auto"/>
          </w:divBdr>
        </w:div>
      </w:divsChild>
    </w:div>
    <w:div w:id="940844649">
      <w:bodyDiv w:val="1"/>
      <w:marLeft w:val="0"/>
      <w:marRight w:val="0"/>
      <w:marTop w:val="0"/>
      <w:marBottom w:val="0"/>
      <w:divBdr>
        <w:top w:val="none" w:sz="0" w:space="0" w:color="auto"/>
        <w:left w:val="none" w:sz="0" w:space="0" w:color="auto"/>
        <w:bottom w:val="none" w:sz="0" w:space="0" w:color="auto"/>
        <w:right w:val="none" w:sz="0" w:space="0" w:color="auto"/>
      </w:divBdr>
    </w:div>
    <w:div w:id="1123379824">
      <w:bodyDiv w:val="1"/>
      <w:marLeft w:val="0"/>
      <w:marRight w:val="0"/>
      <w:marTop w:val="0"/>
      <w:marBottom w:val="0"/>
      <w:divBdr>
        <w:top w:val="none" w:sz="0" w:space="0" w:color="auto"/>
        <w:left w:val="none" w:sz="0" w:space="0" w:color="auto"/>
        <w:bottom w:val="none" w:sz="0" w:space="0" w:color="auto"/>
        <w:right w:val="none" w:sz="0" w:space="0" w:color="auto"/>
      </w:divBdr>
    </w:div>
    <w:div w:id="1139150326">
      <w:bodyDiv w:val="1"/>
      <w:marLeft w:val="0"/>
      <w:marRight w:val="0"/>
      <w:marTop w:val="0"/>
      <w:marBottom w:val="0"/>
      <w:divBdr>
        <w:top w:val="none" w:sz="0" w:space="0" w:color="auto"/>
        <w:left w:val="none" w:sz="0" w:space="0" w:color="auto"/>
        <w:bottom w:val="none" w:sz="0" w:space="0" w:color="auto"/>
        <w:right w:val="none" w:sz="0" w:space="0" w:color="auto"/>
      </w:divBdr>
    </w:div>
    <w:div w:id="1141310876">
      <w:bodyDiv w:val="1"/>
      <w:marLeft w:val="0"/>
      <w:marRight w:val="0"/>
      <w:marTop w:val="0"/>
      <w:marBottom w:val="0"/>
      <w:divBdr>
        <w:top w:val="none" w:sz="0" w:space="0" w:color="auto"/>
        <w:left w:val="none" w:sz="0" w:space="0" w:color="auto"/>
        <w:bottom w:val="none" w:sz="0" w:space="0" w:color="auto"/>
        <w:right w:val="none" w:sz="0" w:space="0" w:color="auto"/>
      </w:divBdr>
    </w:div>
    <w:div w:id="1180847928">
      <w:bodyDiv w:val="1"/>
      <w:marLeft w:val="0"/>
      <w:marRight w:val="0"/>
      <w:marTop w:val="0"/>
      <w:marBottom w:val="0"/>
      <w:divBdr>
        <w:top w:val="none" w:sz="0" w:space="0" w:color="auto"/>
        <w:left w:val="none" w:sz="0" w:space="0" w:color="auto"/>
        <w:bottom w:val="none" w:sz="0" w:space="0" w:color="auto"/>
        <w:right w:val="none" w:sz="0" w:space="0" w:color="auto"/>
      </w:divBdr>
    </w:div>
    <w:div w:id="1210416694">
      <w:bodyDiv w:val="1"/>
      <w:marLeft w:val="0"/>
      <w:marRight w:val="0"/>
      <w:marTop w:val="0"/>
      <w:marBottom w:val="0"/>
      <w:divBdr>
        <w:top w:val="none" w:sz="0" w:space="0" w:color="auto"/>
        <w:left w:val="none" w:sz="0" w:space="0" w:color="auto"/>
        <w:bottom w:val="none" w:sz="0" w:space="0" w:color="auto"/>
        <w:right w:val="none" w:sz="0" w:space="0" w:color="auto"/>
      </w:divBdr>
    </w:div>
    <w:div w:id="1214997061">
      <w:bodyDiv w:val="1"/>
      <w:marLeft w:val="0"/>
      <w:marRight w:val="0"/>
      <w:marTop w:val="0"/>
      <w:marBottom w:val="0"/>
      <w:divBdr>
        <w:top w:val="none" w:sz="0" w:space="0" w:color="auto"/>
        <w:left w:val="none" w:sz="0" w:space="0" w:color="auto"/>
        <w:bottom w:val="none" w:sz="0" w:space="0" w:color="auto"/>
        <w:right w:val="none" w:sz="0" w:space="0" w:color="auto"/>
      </w:divBdr>
    </w:div>
    <w:div w:id="1261641982">
      <w:bodyDiv w:val="1"/>
      <w:marLeft w:val="0"/>
      <w:marRight w:val="0"/>
      <w:marTop w:val="0"/>
      <w:marBottom w:val="0"/>
      <w:divBdr>
        <w:top w:val="none" w:sz="0" w:space="0" w:color="auto"/>
        <w:left w:val="none" w:sz="0" w:space="0" w:color="auto"/>
        <w:bottom w:val="none" w:sz="0" w:space="0" w:color="auto"/>
        <w:right w:val="none" w:sz="0" w:space="0" w:color="auto"/>
      </w:divBdr>
    </w:div>
    <w:div w:id="1300915721">
      <w:bodyDiv w:val="1"/>
      <w:marLeft w:val="0"/>
      <w:marRight w:val="0"/>
      <w:marTop w:val="0"/>
      <w:marBottom w:val="0"/>
      <w:divBdr>
        <w:top w:val="none" w:sz="0" w:space="0" w:color="auto"/>
        <w:left w:val="none" w:sz="0" w:space="0" w:color="auto"/>
        <w:bottom w:val="none" w:sz="0" w:space="0" w:color="auto"/>
        <w:right w:val="none" w:sz="0" w:space="0" w:color="auto"/>
      </w:divBdr>
    </w:div>
    <w:div w:id="1378700782">
      <w:bodyDiv w:val="1"/>
      <w:marLeft w:val="0"/>
      <w:marRight w:val="0"/>
      <w:marTop w:val="0"/>
      <w:marBottom w:val="0"/>
      <w:divBdr>
        <w:top w:val="none" w:sz="0" w:space="0" w:color="auto"/>
        <w:left w:val="none" w:sz="0" w:space="0" w:color="auto"/>
        <w:bottom w:val="none" w:sz="0" w:space="0" w:color="auto"/>
        <w:right w:val="none" w:sz="0" w:space="0" w:color="auto"/>
      </w:divBdr>
      <w:divsChild>
        <w:div w:id="136652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086460">
      <w:bodyDiv w:val="1"/>
      <w:marLeft w:val="0"/>
      <w:marRight w:val="0"/>
      <w:marTop w:val="0"/>
      <w:marBottom w:val="0"/>
      <w:divBdr>
        <w:top w:val="none" w:sz="0" w:space="0" w:color="auto"/>
        <w:left w:val="none" w:sz="0" w:space="0" w:color="auto"/>
        <w:bottom w:val="none" w:sz="0" w:space="0" w:color="auto"/>
        <w:right w:val="none" w:sz="0" w:space="0" w:color="auto"/>
      </w:divBdr>
    </w:div>
    <w:div w:id="1601718127">
      <w:bodyDiv w:val="1"/>
      <w:marLeft w:val="0"/>
      <w:marRight w:val="0"/>
      <w:marTop w:val="0"/>
      <w:marBottom w:val="0"/>
      <w:divBdr>
        <w:top w:val="none" w:sz="0" w:space="0" w:color="auto"/>
        <w:left w:val="none" w:sz="0" w:space="0" w:color="auto"/>
        <w:bottom w:val="none" w:sz="0" w:space="0" w:color="auto"/>
        <w:right w:val="none" w:sz="0" w:space="0" w:color="auto"/>
      </w:divBdr>
    </w:div>
    <w:div w:id="1634557818">
      <w:bodyDiv w:val="1"/>
      <w:marLeft w:val="0"/>
      <w:marRight w:val="0"/>
      <w:marTop w:val="0"/>
      <w:marBottom w:val="0"/>
      <w:divBdr>
        <w:top w:val="none" w:sz="0" w:space="0" w:color="auto"/>
        <w:left w:val="none" w:sz="0" w:space="0" w:color="auto"/>
        <w:bottom w:val="none" w:sz="0" w:space="0" w:color="auto"/>
        <w:right w:val="none" w:sz="0" w:space="0" w:color="auto"/>
      </w:divBdr>
      <w:divsChild>
        <w:div w:id="1351488836">
          <w:marLeft w:val="0"/>
          <w:marRight w:val="0"/>
          <w:marTop w:val="0"/>
          <w:marBottom w:val="0"/>
          <w:divBdr>
            <w:top w:val="none" w:sz="0" w:space="0" w:color="auto"/>
            <w:left w:val="none" w:sz="0" w:space="0" w:color="auto"/>
            <w:bottom w:val="none" w:sz="0" w:space="0" w:color="auto"/>
            <w:right w:val="none" w:sz="0" w:space="0" w:color="auto"/>
          </w:divBdr>
          <w:divsChild>
            <w:div w:id="1032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2411">
      <w:bodyDiv w:val="1"/>
      <w:marLeft w:val="0"/>
      <w:marRight w:val="0"/>
      <w:marTop w:val="0"/>
      <w:marBottom w:val="0"/>
      <w:divBdr>
        <w:top w:val="none" w:sz="0" w:space="0" w:color="auto"/>
        <w:left w:val="none" w:sz="0" w:space="0" w:color="auto"/>
        <w:bottom w:val="none" w:sz="0" w:space="0" w:color="auto"/>
        <w:right w:val="none" w:sz="0" w:space="0" w:color="auto"/>
      </w:divBdr>
    </w:div>
    <w:div w:id="1670600677">
      <w:bodyDiv w:val="1"/>
      <w:marLeft w:val="0"/>
      <w:marRight w:val="0"/>
      <w:marTop w:val="0"/>
      <w:marBottom w:val="0"/>
      <w:divBdr>
        <w:top w:val="none" w:sz="0" w:space="0" w:color="auto"/>
        <w:left w:val="none" w:sz="0" w:space="0" w:color="auto"/>
        <w:bottom w:val="none" w:sz="0" w:space="0" w:color="auto"/>
        <w:right w:val="none" w:sz="0" w:space="0" w:color="auto"/>
      </w:divBdr>
      <w:divsChild>
        <w:div w:id="242876513">
          <w:marLeft w:val="0"/>
          <w:marRight w:val="0"/>
          <w:marTop w:val="0"/>
          <w:marBottom w:val="0"/>
          <w:divBdr>
            <w:top w:val="none" w:sz="0" w:space="0" w:color="auto"/>
            <w:left w:val="none" w:sz="0" w:space="0" w:color="auto"/>
            <w:bottom w:val="none" w:sz="0" w:space="0" w:color="auto"/>
            <w:right w:val="none" w:sz="0" w:space="0" w:color="auto"/>
          </w:divBdr>
        </w:div>
        <w:div w:id="711686058">
          <w:marLeft w:val="0"/>
          <w:marRight w:val="0"/>
          <w:marTop w:val="0"/>
          <w:marBottom w:val="0"/>
          <w:divBdr>
            <w:top w:val="none" w:sz="0" w:space="0" w:color="auto"/>
            <w:left w:val="none" w:sz="0" w:space="0" w:color="auto"/>
            <w:bottom w:val="none" w:sz="0" w:space="0" w:color="auto"/>
            <w:right w:val="none" w:sz="0" w:space="0" w:color="auto"/>
          </w:divBdr>
        </w:div>
      </w:divsChild>
    </w:div>
    <w:div w:id="1738894371">
      <w:bodyDiv w:val="1"/>
      <w:marLeft w:val="0"/>
      <w:marRight w:val="0"/>
      <w:marTop w:val="0"/>
      <w:marBottom w:val="0"/>
      <w:divBdr>
        <w:top w:val="none" w:sz="0" w:space="0" w:color="auto"/>
        <w:left w:val="none" w:sz="0" w:space="0" w:color="auto"/>
        <w:bottom w:val="none" w:sz="0" w:space="0" w:color="auto"/>
        <w:right w:val="none" w:sz="0" w:space="0" w:color="auto"/>
      </w:divBdr>
      <w:divsChild>
        <w:div w:id="525874150">
          <w:marLeft w:val="0"/>
          <w:marRight w:val="0"/>
          <w:marTop w:val="0"/>
          <w:marBottom w:val="0"/>
          <w:divBdr>
            <w:top w:val="none" w:sz="0" w:space="0" w:color="auto"/>
            <w:left w:val="none" w:sz="0" w:space="0" w:color="auto"/>
            <w:bottom w:val="none" w:sz="0" w:space="0" w:color="auto"/>
            <w:right w:val="none" w:sz="0" w:space="0" w:color="auto"/>
          </w:divBdr>
          <w:divsChild>
            <w:div w:id="1795444655">
              <w:marLeft w:val="0"/>
              <w:marRight w:val="0"/>
              <w:marTop w:val="0"/>
              <w:marBottom w:val="0"/>
              <w:divBdr>
                <w:top w:val="none" w:sz="0" w:space="0" w:color="auto"/>
                <w:left w:val="none" w:sz="0" w:space="0" w:color="auto"/>
                <w:bottom w:val="none" w:sz="0" w:space="0" w:color="auto"/>
                <w:right w:val="none" w:sz="0" w:space="0" w:color="auto"/>
              </w:divBdr>
            </w:div>
          </w:divsChild>
        </w:div>
        <w:div w:id="775905733">
          <w:marLeft w:val="0"/>
          <w:marRight w:val="0"/>
          <w:marTop w:val="0"/>
          <w:marBottom w:val="0"/>
          <w:divBdr>
            <w:top w:val="none" w:sz="0" w:space="0" w:color="auto"/>
            <w:left w:val="none" w:sz="0" w:space="0" w:color="auto"/>
            <w:bottom w:val="none" w:sz="0" w:space="0" w:color="auto"/>
            <w:right w:val="none" w:sz="0" w:space="0" w:color="auto"/>
          </w:divBdr>
          <w:divsChild>
            <w:div w:id="2140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5328">
      <w:bodyDiv w:val="1"/>
      <w:marLeft w:val="0"/>
      <w:marRight w:val="0"/>
      <w:marTop w:val="0"/>
      <w:marBottom w:val="0"/>
      <w:divBdr>
        <w:top w:val="none" w:sz="0" w:space="0" w:color="auto"/>
        <w:left w:val="none" w:sz="0" w:space="0" w:color="auto"/>
        <w:bottom w:val="none" w:sz="0" w:space="0" w:color="auto"/>
        <w:right w:val="none" w:sz="0" w:space="0" w:color="auto"/>
      </w:divBdr>
      <w:divsChild>
        <w:div w:id="1786147943">
          <w:marLeft w:val="0"/>
          <w:marRight w:val="0"/>
          <w:marTop w:val="0"/>
          <w:marBottom w:val="0"/>
          <w:divBdr>
            <w:top w:val="none" w:sz="0" w:space="0" w:color="auto"/>
            <w:left w:val="none" w:sz="0" w:space="0" w:color="auto"/>
            <w:bottom w:val="none" w:sz="0" w:space="0" w:color="auto"/>
            <w:right w:val="none" w:sz="0" w:space="0" w:color="auto"/>
          </w:divBdr>
          <w:divsChild>
            <w:div w:id="282657017">
              <w:marLeft w:val="0"/>
              <w:marRight w:val="0"/>
              <w:marTop w:val="0"/>
              <w:marBottom w:val="0"/>
              <w:divBdr>
                <w:top w:val="none" w:sz="0" w:space="0" w:color="auto"/>
                <w:left w:val="none" w:sz="0" w:space="0" w:color="auto"/>
                <w:bottom w:val="none" w:sz="0" w:space="0" w:color="auto"/>
                <w:right w:val="none" w:sz="0" w:space="0" w:color="auto"/>
              </w:divBdr>
            </w:div>
          </w:divsChild>
        </w:div>
        <w:div w:id="639965278">
          <w:marLeft w:val="0"/>
          <w:marRight w:val="0"/>
          <w:marTop w:val="0"/>
          <w:marBottom w:val="0"/>
          <w:divBdr>
            <w:top w:val="none" w:sz="0" w:space="0" w:color="auto"/>
            <w:left w:val="none" w:sz="0" w:space="0" w:color="auto"/>
            <w:bottom w:val="none" w:sz="0" w:space="0" w:color="auto"/>
            <w:right w:val="none" w:sz="0" w:space="0" w:color="auto"/>
          </w:divBdr>
          <w:divsChild>
            <w:div w:id="8492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5582">
      <w:bodyDiv w:val="1"/>
      <w:marLeft w:val="0"/>
      <w:marRight w:val="0"/>
      <w:marTop w:val="0"/>
      <w:marBottom w:val="0"/>
      <w:divBdr>
        <w:top w:val="none" w:sz="0" w:space="0" w:color="auto"/>
        <w:left w:val="none" w:sz="0" w:space="0" w:color="auto"/>
        <w:bottom w:val="none" w:sz="0" w:space="0" w:color="auto"/>
        <w:right w:val="none" w:sz="0" w:space="0" w:color="auto"/>
      </w:divBdr>
    </w:div>
    <w:div w:id="1873490903">
      <w:bodyDiv w:val="1"/>
      <w:marLeft w:val="0"/>
      <w:marRight w:val="0"/>
      <w:marTop w:val="0"/>
      <w:marBottom w:val="0"/>
      <w:divBdr>
        <w:top w:val="none" w:sz="0" w:space="0" w:color="auto"/>
        <w:left w:val="none" w:sz="0" w:space="0" w:color="auto"/>
        <w:bottom w:val="none" w:sz="0" w:space="0" w:color="auto"/>
        <w:right w:val="none" w:sz="0" w:space="0" w:color="auto"/>
      </w:divBdr>
    </w:div>
    <w:div w:id="1914003302">
      <w:bodyDiv w:val="1"/>
      <w:marLeft w:val="0"/>
      <w:marRight w:val="0"/>
      <w:marTop w:val="0"/>
      <w:marBottom w:val="0"/>
      <w:divBdr>
        <w:top w:val="none" w:sz="0" w:space="0" w:color="auto"/>
        <w:left w:val="none" w:sz="0" w:space="0" w:color="auto"/>
        <w:bottom w:val="none" w:sz="0" w:space="0" w:color="auto"/>
        <w:right w:val="none" w:sz="0" w:space="0" w:color="auto"/>
      </w:divBdr>
    </w:div>
    <w:div w:id="1974090642">
      <w:bodyDiv w:val="1"/>
      <w:marLeft w:val="0"/>
      <w:marRight w:val="0"/>
      <w:marTop w:val="0"/>
      <w:marBottom w:val="0"/>
      <w:divBdr>
        <w:top w:val="none" w:sz="0" w:space="0" w:color="auto"/>
        <w:left w:val="none" w:sz="0" w:space="0" w:color="auto"/>
        <w:bottom w:val="none" w:sz="0" w:space="0" w:color="auto"/>
        <w:right w:val="none" w:sz="0" w:space="0" w:color="auto"/>
      </w:divBdr>
    </w:div>
    <w:div w:id="2005156786">
      <w:bodyDiv w:val="1"/>
      <w:marLeft w:val="0"/>
      <w:marRight w:val="0"/>
      <w:marTop w:val="0"/>
      <w:marBottom w:val="0"/>
      <w:divBdr>
        <w:top w:val="none" w:sz="0" w:space="0" w:color="auto"/>
        <w:left w:val="none" w:sz="0" w:space="0" w:color="auto"/>
        <w:bottom w:val="none" w:sz="0" w:space="0" w:color="auto"/>
        <w:right w:val="none" w:sz="0" w:space="0" w:color="auto"/>
      </w:divBdr>
    </w:div>
    <w:div w:id="2012677551">
      <w:bodyDiv w:val="1"/>
      <w:marLeft w:val="0"/>
      <w:marRight w:val="0"/>
      <w:marTop w:val="0"/>
      <w:marBottom w:val="0"/>
      <w:divBdr>
        <w:top w:val="none" w:sz="0" w:space="0" w:color="auto"/>
        <w:left w:val="none" w:sz="0" w:space="0" w:color="auto"/>
        <w:bottom w:val="none" w:sz="0" w:space="0" w:color="auto"/>
        <w:right w:val="none" w:sz="0" w:space="0" w:color="auto"/>
      </w:divBdr>
    </w:div>
    <w:div w:id="2039045660">
      <w:bodyDiv w:val="1"/>
      <w:marLeft w:val="0"/>
      <w:marRight w:val="0"/>
      <w:marTop w:val="0"/>
      <w:marBottom w:val="0"/>
      <w:divBdr>
        <w:top w:val="none" w:sz="0" w:space="0" w:color="auto"/>
        <w:left w:val="none" w:sz="0" w:space="0" w:color="auto"/>
        <w:bottom w:val="none" w:sz="0" w:space="0" w:color="auto"/>
        <w:right w:val="none" w:sz="0" w:space="0" w:color="auto"/>
      </w:divBdr>
      <w:divsChild>
        <w:div w:id="1071807973">
          <w:marLeft w:val="0"/>
          <w:marRight w:val="0"/>
          <w:marTop w:val="0"/>
          <w:marBottom w:val="0"/>
          <w:divBdr>
            <w:top w:val="none" w:sz="0" w:space="0" w:color="auto"/>
            <w:left w:val="none" w:sz="0" w:space="0" w:color="auto"/>
            <w:bottom w:val="none" w:sz="0" w:space="0" w:color="auto"/>
            <w:right w:val="none" w:sz="0" w:space="0" w:color="auto"/>
          </w:divBdr>
          <w:divsChild>
            <w:div w:id="653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2791">
      <w:bodyDiv w:val="1"/>
      <w:marLeft w:val="0"/>
      <w:marRight w:val="0"/>
      <w:marTop w:val="0"/>
      <w:marBottom w:val="0"/>
      <w:divBdr>
        <w:top w:val="none" w:sz="0" w:space="0" w:color="auto"/>
        <w:left w:val="none" w:sz="0" w:space="0" w:color="auto"/>
        <w:bottom w:val="none" w:sz="0" w:space="0" w:color="auto"/>
        <w:right w:val="none" w:sz="0" w:space="0" w:color="auto"/>
      </w:divBdr>
    </w:div>
    <w:div w:id="21418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0/JCO.2013.53.0808" TargetMode="External"/><Relationship Id="rId18" Type="http://schemas.openxmlformats.org/officeDocument/2006/relationships/hyperlink" Target="https://doi.org/10.1186/s40798-022-00449-4" TargetMode="External"/><Relationship Id="rId26" Type="http://schemas.openxmlformats.org/officeDocument/2006/relationships/hyperlink" Target="https://doi.org/10.1111/j.1365-2648.1994.tb01202.x" TargetMode="External"/><Relationship Id="rId21" Type="http://schemas.openxmlformats.org/officeDocument/2006/relationships/hyperlink" Target="https://doi.org/10.1182/blood-2011-12-399287" TargetMode="External"/><Relationship Id="rId34" Type="http://schemas.openxmlformats.org/officeDocument/2006/relationships/hyperlink" Target="https://doi.org/10.1249/JSR.0000000000000620" TargetMode="External"/><Relationship Id="rId7" Type="http://schemas.openxmlformats.org/officeDocument/2006/relationships/image" Target="media/image2.jpeg"/><Relationship Id="rId12" Type="http://schemas.openxmlformats.org/officeDocument/2006/relationships/hyperlink" Target="https://doi.org/10.1016/j.sleep.2023.05.004" TargetMode="External"/><Relationship Id="rId17" Type="http://schemas.openxmlformats.org/officeDocument/2006/relationships/hyperlink" Target="https://doi.org/10.1007/s10549-021-06111-z" TargetMode="External"/><Relationship Id="rId25" Type="http://schemas.openxmlformats.org/officeDocument/2006/relationships/hyperlink" Target="https://doi.org/10.1186/1471-2407-13-446" TargetMode="External"/><Relationship Id="rId33" Type="http://schemas.openxmlformats.org/officeDocument/2006/relationships/hyperlink" Target="https://doi.org/10.1038/mp.2015.6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24/JBISRIR-2016-003204" TargetMode="External"/><Relationship Id="rId20" Type="http://schemas.openxmlformats.org/officeDocument/2006/relationships/hyperlink" Target="https://doi.org/10.1002/hipo.20547" TargetMode="External"/><Relationship Id="rId29" Type="http://schemas.openxmlformats.org/officeDocument/2006/relationships/hyperlink" Target="https://doi.org/10.1177/0894318002210724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58/1055-9965.EPI-17-0293" TargetMode="External"/><Relationship Id="rId24" Type="http://schemas.openxmlformats.org/officeDocument/2006/relationships/hyperlink" Target="https://doi.org/10.1111/sms.14520" TargetMode="External"/><Relationship Id="rId32" Type="http://schemas.openxmlformats.org/officeDocument/2006/relationships/hyperlink" Target="https://doi.org/10.1007/s00520-015-276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9781119636113.ch53" TargetMode="External"/><Relationship Id="rId23" Type="http://schemas.openxmlformats.org/officeDocument/2006/relationships/hyperlink" Target="https://doi.org/10.1136/bjsports-2016-096422" TargetMode="External"/><Relationship Id="rId28" Type="http://schemas.openxmlformats.org/officeDocument/2006/relationships/hyperlink" Target="https://doi.org/10.1186/s13643-023-02308-z" TargetMode="External"/><Relationship Id="rId36" Type="http://schemas.openxmlformats.org/officeDocument/2006/relationships/hyperlink" Target="https://doi.org/10.3928/19404921-20231013-01" TargetMode="External"/><Relationship Id="rId10" Type="http://schemas.openxmlformats.org/officeDocument/2006/relationships/hyperlink" Target="https://seer.cancer.gov/statfacts/html/alyl.html" TargetMode="External"/><Relationship Id="rId19" Type="http://schemas.openxmlformats.org/officeDocument/2006/relationships/hyperlink" Target="https://doi.org/10.1007/s00520-023-08023-8" TargetMode="External"/><Relationship Id="rId31" Type="http://schemas.openxmlformats.org/officeDocument/2006/relationships/hyperlink" Target="https://doi.org/10.1016/j.rccan.2016.11.001"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doi.org/10.1038/bjc.2014.568" TargetMode="External"/><Relationship Id="rId22" Type="http://schemas.openxmlformats.org/officeDocument/2006/relationships/hyperlink" Target="https://doi.org/10.1016/j.clml.2016.09.003" TargetMode="External"/><Relationship Id="rId27" Type="http://schemas.openxmlformats.org/officeDocument/2006/relationships/hyperlink" Target="https://doi.org/10.3233/JPD-230266" TargetMode="External"/><Relationship Id="rId30" Type="http://schemas.openxmlformats.org/officeDocument/2006/relationships/hyperlink" Target="https://doi.org/10.1007/s00520-023-08103-9" TargetMode="External"/><Relationship Id="rId35" Type="http://schemas.openxmlformats.org/officeDocument/2006/relationships/hyperlink" Target="https://doi.org/10.1108/rjta-08-2020-0087" TargetMode="External"/><Relationship Id="rId8" Type="http://schemas.openxmlformats.org/officeDocument/2006/relationships/image" Target="media/image3.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6C09-5AB2-4137-93A8-998038F9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7821</Words>
  <Characters>45914</Characters>
  <Application>Microsoft Office Word</Application>
  <DocSecurity>0</DocSecurity>
  <Lines>976</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Adán Germán Gallardo Rodríguez</dc:creator>
  <cp:keywords/>
  <dc:description/>
  <cp:lastModifiedBy>Adán Germán Gallardo Rodríguez</cp:lastModifiedBy>
  <cp:revision>9</cp:revision>
  <dcterms:created xsi:type="dcterms:W3CDTF">2025-09-10T02:33:00Z</dcterms:created>
  <dcterms:modified xsi:type="dcterms:W3CDTF">2025-09-10T18:45:00Z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908383bd-4169-4145-b5ee-5f882bbdf316</vt:lpwstr>
  </property>
</Properties>
</file>